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9FB246">
      <w:pPr>
        <w:ind w:right="-315" w:rightChars="-150"/>
        <w:jc w:val="center"/>
        <w:rPr>
          <w:rFonts w:ascii="仿宋" w:hAnsi="仿宋" w:eastAsia="仿宋" w:cs="仿宋"/>
          <w:b/>
          <w:bCs/>
          <w:color w:val="auto"/>
          <w:sz w:val="92"/>
          <w:szCs w:val="92"/>
          <w:highlight w:val="none"/>
          <w:u w:val="single"/>
          <w:vertAlign w:val="subscript"/>
        </w:rPr>
      </w:pPr>
    </w:p>
    <w:p w14:paraId="230B2AA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b/>
          <w:bCs/>
          <w:color w:val="auto"/>
          <w:sz w:val="44"/>
          <w:szCs w:val="44"/>
          <w:highlight w:val="none"/>
          <w:lang w:eastAsia="zh-CN"/>
        </w:rPr>
      </w:pPr>
      <w:r>
        <w:rPr>
          <w:rFonts w:hint="eastAsia" w:ascii="宋体" w:hAnsi="宋体" w:eastAsia="仿宋" w:cs="宋体"/>
          <w:b/>
          <w:bCs/>
          <w:color w:val="auto"/>
          <w:spacing w:val="-10"/>
          <w:sz w:val="44"/>
          <w:szCs w:val="44"/>
          <w:highlight w:val="none"/>
          <w:lang w:eastAsia="zh-CN"/>
        </w:rPr>
        <w:t>滁州市建筑垃圾综合处置项目（一期）工程量清单及最高投标限价编制服务项目</w:t>
      </w:r>
    </w:p>
    <w:p w14:paraId="5D190B12">
      <w:pPr>
        <w:spacing w:line="400" w:lineRule="atLeast"/>
        <w:jc w:val="center"/>
        <w:rPr>
          <w:rFonts w:hint="eastAsia" w:ascii="宋体" w:hAnsi="宋体" w:cs="宋体"/>
          <w:b/>
          <w:bCs/>
          <w:color w:val="auto"/>
          <w:sz w:val="72"/>
          <w:szCs w:val="72"/>
          <w:highlight w:val="none"/>
        </w:rPr>
      </w:pPr>
    </w:p>
    <w:p w14:paraId="61ECC06F">
      <w:pPr>
        <w:spacing w:line="400" w:lineRule="atLeast"/>
        <w:jc w:val="center"/>
        <w:rPr>
          <w:rFonts w:hint="eastAsia" w:ascii="宋体" w:hAnsi="宋体" w:cs="宋体"/>
          <w:b/>
          <w:bCs/>
          <w:color w:val="auto"/>
          <w:sz w:val="72"/>
          <w:szCs w:val="72"/>
          <w:highlight w:val="none"/>
        </w:rPr>
      </w:pPr>
    </w:p>
    <w:p w14:paraId="23B69139">
      <w:pPr>
        <w:spacing w:line="400" w:lineRule="atLeast"/>
        <w:jc w:val="center"/>
        <w:rPr>
          <w:rFonts w:ascii="仿宋" w:hAnsi="仿宋" w:eastAsia="仿宋" w:cs="仿宋"/>
          <w:b/>
          <w:bCs/>
          <w:color w:val="auto"/>
          <w:sz w:val="72"/>
          <w:szCs w:val="72"/>
          <w:highlight w:val="none"/>
        </w:rPr>
      </w:pPr>
      <w:r>
        <w:rPr>
          <w:rFonts w:hint="eastAsia" w:ascii="宋体" w:hAnsi="宋体" w:cs="宋体"/>
          <w:b/>
          <w:bCs/>
          <w:color w:val="auto"/>
          <w:sz w:val="72"/>
          <w:szCs w:val="72"/>
          <w:highlight w:val="none"/>
        </w:rPr>
        <w:t>招标文件</w:t>
      </w:r>
    </w:p>
    <w:p w14:paraId="56A8D79B">
      <w:pPr>
        <w:spacing w:line="480" w:lineRule="exact"/>
        <w:rPr>
          <w:rFonts w:ascii="仿宋" w:hAnsi="仿宋" w:eastAsia="仿宋" w:cs="仿宋"/>
          <w:b/>
          <w:bCs/>
          <w:color w:val="auto"/>
          <w:sz w:val="44"/>
          <w:szCs w:val="44"/>
          <w:highlight w:val="none"/>
        </w:rPr>
      </w:pPr>
    </w:p>
    <w:p w14:paraId="5577C6D3">
      <w:pPr>
        <w:spacing w:line="480" w:lineRule="exact"/>
        <w:ind w:firstLine="643" w:firstLineChars="200"/>
        <w:jc w:val="center"/>
        <w:rPr>
          <w:rFonts w:ascii="仿宋" w:hAnsi="仿宋" w:eastAsia="仿宋" w:cs="仿宋"/>
          <w:b/>
          <w:bCs/>
          <w:color w:val="auto"/>
          <w:sz w:val="32"/>
          <w:szCs w:val="32"/>
          <w:highlight w:val="none"/>
        </w:rPr>
      </w:pPr>
    </w:p>
    <w:p w14:paraId="2C384CD9">
      <w:pPr>
        <w:spacing w:line="480" w:lineRule="exact"/>
        <w:ind w:firstLine="472" w:firstLineChars="147"/>
        <w:rPr>
          <w:rFonts w:ascii="仿宋" w:hAnsi="仿宋" w:eastAsia="仿宋" w:cs="仿宋"/>
          <w:b/>
          <w:bCs/>
          <w:color w:val="auto"/>
          <w:sz w:val="32"/>
          <w:szCs w:val="32"/>
          <w:highlight w:val="none"/>
        </w:rPr>
      </w:pPr>
    </w:p>
    <w:p w14:paraId="6E347307">
      <w:pPr>
        <w:spacing w:line="480" w:lineRule="exact"/>
        <w:ind w:firstLine="472" w:firstLineChars="147"/>
        <w:rPr>
          <w:rFonts w:ascii="仿宋" w:hAnsi="仿宋" w:eastAsia="仿宋" w:cs="仿宋"/>
          <w:b/>
          <w:bCs/>
          <w:color w:val="auto"/>
          <w:sz w:val="32"/>
          <w:szCs w:val="32"/>
          <w:highlight w:val="none"/>
        </w:rPr>
      </w:pPr>
    </w:p>
    <w:p w14:paraId="712D8FE9">
      <w:pPr>
        <w:spacing w:line="480" w:lineRule="exact"/>
        <w:rPr>
          <w:rFonts w:ascii="仿宋" w:hAnsi="仿宋" w:eastAsia="仿宋" w:cs="仿宋"/>
          <w:b/>
          <w:bCs/>
          <w:color w:val="auto"/>
          <w:sz w:val="32"/>
          <w:szCs w:val="32"/>
          <w:highlight w:val="none"/>
        </w:rPr>
      </w:pPr>
    </w:p>
    <w:p w14:paraId="057CBD57">
      <w:pPr>
        <w:spacing w:line="480" w:lineRule="exact"/>
        <w:rPr>
          <w:rFonts w:ascii="仿宋" w:hAnsi="仿宋" w:eastAsia="仿宋" w:cs="仿宋"/>
          <w:b/>
          <w:bCs/>
          <w:color w:val="auto"/>
          <w:sz w:val="32"/>
          <w:szCs w:val="32"/>
          <w:highlight w:val="none"/>
        </w:rPr>
      </w:pPr>
    </w:p>
    <w:p w14:paraId="771747BE">
      <w:pPr>
        <w:spacing w:line="480" w:lineRule="exact"/>
        <w:ind w:firstLine="472" w:firstLineChars="147"/>
        <w:rPr>
          <w:rFonts w:ascii="仿宋" w:hAnsi="仿宋" w:eastAsia="仿宋" w:cs="仿宋"/>
          <w:b/>
          <w:bCs/>
          <w:color w:val="auto"/>
          <w:sz w:val="32"/>
          <w:szCs w:val="32"/>
          <w:highlight w:val="none"/>
        </w:rPr>
      </w:pPr>
    </w:p>
    <w:p w14:paraId="449DDDFC">
      <w:pPr>
        <w:rPr>
          <w:rFonts w:ascii="仿宋" w:hAnsi="仿宋" w:eastAsia="仿宋" w:cs="仿宋"/>
          <w:color w:val="auto"/>
          <w:highlight w:val="none"/>
        </w:rPr>
      </w:pPr>
    </w:p>
    <w:p w14:paraId="5C1EE0E1">
      <w:pPr>
        <w:spacing w:line="480" w:lineRule="exact"/>
        <w:rPr>
          <w:rFonts w:ascii="仿宋" w:hAnsi="仿宋" w:eastAsia="仿宋" w:cs="仿宋"/>
          <w:b/>
          <w:bCs/>
          <w:color w:val="auto"/>
          <w:sz w:val="32"/>
          <w:szCs w:val="32"/>
          <w:highlight w:val="none"/>
        </w:rPr>
      </w:pPr>
    </w:p>
    <w:p w14:paraId="379F64A8">
      <w:pPr>
        <w:pStyle w:val="7"/>
        <w:rPr>
          <w:color w:val="auto"/>
          <w:highlight w:val="none"/>
        </w:rPr>
      </w:pPr>
    </w:p>
    <w:p w14:paraId="7EAF9C3A">
      <w:pPr>
        <w:rPr>
          <w:color w:val="auto"/>
          <w:highlight w:val="none"/>
        </w:rPr>
      </w:pPr>
    </w:p>
    <w:p w14:paraId="7A1ED531">
      <w:pPr>
        <w:wordWrap w:val="0"/>
        <w:spacing w:line="700" w:lineRule="exact"/>
        <w:ind w:right="480" w:firstLine="321" w:firstLineChars="100"/>
        <w:rPr>
          <w:rFonts w:ascii="宋体" w:cs="宋体"/>
          <w:b/>
          <w:bCs/>
          <w:color w:val="auto"/>
          <w:sz w:val="32"/>
          <w:highlight w:val="none"/>
        </w:rPr>
      </w:pPr>
      <w:r>
        <w:rPr>
          <w:rFonts w:hint="eastAsia" w:ascii="宋体" w:cs="宋体"/>
          <w:b/>
          <w:bCs/>
          <w:color w:val="auto"/>
          <w:sz w:val="32"/>
          <w:highlight w:val="none"/>
        </w:rPr>
        <w:t>招标单位</w:t>
      </w:r>
      <w:r>
        <w:rPr>
          <w:rFonts w:ascii="宋体" w:cs="宋体"/>
          <w:b/>
          <w:bCs/>
          <w:color w:val="auto"/>
          <w:sz w:val="32"/>
          <w:highlight w:val="none"/>
        </w:rPr>
        <w:t xml:space="preserve"> </w:t>
      </w:r>
      <w:r>
        <w:rPr>
          <w:rFonts w:hint="eastAsia" w:ascii="宋体" w:cs="宋体"/>
          <w:b/>
          <w:bCs/>
          <w:color w:val="auto"/>
          <w:sz w:val="32"/>
          <w:highlight w:val="none"/>
        </w:rPr>
        <w:t>：</w:t>
      </w:r>
      <w:r>
        <w:rPr>
          <w:rFonts w:ascii="宋体" w:cs="宋体"/>
          <w:b/>
          <w:bCs/>
          <w:color w:val="auto"/>
          <w:sz w:val="32"/>
          <w:highlight w:val="none"/>
          <w:u w:val="single"/>
        </w:rPr>
        <w:t xml:space="preserve"> </w:t>
      </w:r>
      <w:r>
        <w:rPr>
          <w:rFonts w:hint="eastAsia" w:ascii="宋体" w:cs="宋体"/>
          <w:b/>
          <w:bCs/>
          <w:color w:val="auto"/>
          <w:sz w:val="32"/>
          <w:highlight w:val="none"/>
          <w:u w:val="single"/>
        </w:rPr>
        <w:t xml:space="preserve">  滁州市皖能兴滁环境科技有限公司</w:t>
      </w:r>
      <w:r>
        <w:rPr>
          <w:rFonts w:hint="eastAsia" w:ascii="宋体" w:cs="宋体"/>
          <w:b/>
          <w:bCs/>
          <w:color w:val="auto"/>
          <w:sz w:val="30"/>
          <w:szCs w:val="30"/>
          <w:highlight w:val="none"/>
          <w:u w:val="single"/>
        </w:rPr>
        <w:t xml:space="preserve">   </w:t>
      </w:r>
      <w:r>
        <w:rPr>
          <w:rFonts w:ascii="宋体" w:cs="宋体"/>
          <w:b/>
          <w:bCs/>
          <w:color w:val="auto"/>
          <w:sz w:val="30"/>
          <w:szCs w:val="30"/>
          <w:highlight w:val="none"/>
          <w:u w:val="single"/>
        </w:rPr>
        <w:t xml:space="preserve"> </w:t>
      </w:r>
      <w:r>
        <w:rPr>
          <w:rFonts w:hint="eastAsia" w:ascii="宋体" w:cs="宋体"/>
          <w:b/>
          <w:bCs/>
          <w:color w:val="auto"/>
          <w:sz w:val="32"/>
          <w:highlight w:val="none"/>
          <w:u w:val="single"/>
        </w:rPr>
        <w:t>（盖章）</w:t>
      </w:r>
    </w:p>
    <w:p w14:paraId="11AAF356">
      <w:pPr>
        <w:spacing w:line="700" w:lineRule="exact"/>
        <w:ind w:firstLine="321" w:firstLineChars="100"/>
        <w:rPr>
          <w:rFonts w:ascii="宋体" w:cs="宋体"/>
          <w:b/>
          <w:bCs/>
          <w:color w:val="auto"/>
          <w:sz w:val="32"/>
          <w:highlight w:val="none"/>
        </w:rPr>
      </w:pPr>
    </w:p>
    <w:p w14:paraId="03F9C7E6">
      <w:pPr>
        <w:spacing w:line="700" w:lineRule="exact"/>
        <w:ind w:firstLine="321" w:firstLineChars="100"/>
        <w:outlineLvl w:val="0"/>
        <w:rPr>
          <w:rFonts w:ascii="宋体" w:cs="宋体"/>
          <w:b/>
          <w:bCs/>
          <w:color w:val="auto"/>
          <w:sz w:val="32"/>
          <w:highlight w:val="none"/>
          <w:u w:val="single"/>
        </w:rPr>
      </w:pPr>
      <w:bookmarkStart w:id="0" w:name="_Toc13101"/>
      <w:bookmarkStart w:id="1" w:name="_Toc10545"/>
      <w:bookmarkStart w:id="2" w:name="_Toc7956"/>
      <w:r>
        <w:rPr>
          <w:rFonts w:hint="eastAsia" w:ascii="宋体" w:cs="宋体"/>
          <w:b/>
          <w:bCs/>
          <w:color w:val="auto"/>
          <w:sz w:val="32"/>
          <w:highlight w:val="none"/>
        </w:rPr>
        <w:t>代理机构：</w:t>
      </w:r>
      <w:r>
        <w:rPr>
          <w:rFonts w:ascii="宋体" w:cs="宋体"/>
          <w:b/>
          <w:bCs/>
          <w:color w:val="auto"/>
          <w:sz w:val="32"/>
          <w:highlight w:val="none"/>
          <w:u w:val="single"/>
        </w:rPr>
        <w:t xml:space="preserve">    </w:t>
      </w:r>
      <w:r>
        <w:rPr>
          <w:rFonts w:hint="eastAsia" w:ascii="宋体" w:cs="宋体"/>
          <w:b/>
          <w:bCs/>
          <w:color w:val="auto"/>
          <w:sz w:val="32"/>
          <w:highlight w:val="none"/>
          <w:u w:val="single"/>
        </w:rPr>
        <w:t>滁州市城投工程咨询管理有限公司</w:t>
      </w:r>
      <w:r>
        <w:rPr>
          <w:rFonts w:ascii="宋体" w:cs="宋体"/>
          <w:b/>
          <w:bCs/>
          <w:color w:val="auto"/>
          <w:sz w:val="32"/>
          <w:highlight w:val="none"/>
          <w:u w:val="single"/>
        </w:rPr>
        <w:t xml:space="preserve"> </w:t>
      </w:r>
      <w:r>
        <w:rPr>
          <w:rFonts w:hint="eastAsia" w:ascii="宋体" w:cs="宋体"/>
          <w:b/>
          <w:bCs/>
          <w:color w:val="auto"/>
          <w:sz w:val="32"/>
          <w:highlight w:val="none"/>
          <w:u w:val="single"/>
        </w:rPr>
        <w:t>（盖章）</w:t>
      </w:r>
      <w:bookmarkEnd w:id="0"/>
      <w:bookmarkEnd w:id="1"/>
      <w:bookmarkEnd w:id="2"/>
    </w:p>
    <w:p w14:paraId="48F46022">
      <w:pPr>
        <w:spacing w:line="700" w:lineRule="exact"/>
        <w:ind w:firstLine="4016" w:firstLineChars="1250"/>
        <w:rPr>
          <w:rFonts w:ascii="宋体" w:cs="宋体"/>
          <w:b/>
          <w:bCs/>
          <w:color w:val="auto"/>
          <w:sz w:val="32"/>
          <w:highlight w:val="none"/>
          <w:u w:val="single"/>
        </w:rPr>
      </w:pPr>
    </w:p>
    <w:p w14:paraId="03AAB7E4">
      <w:pPr>
        <w:spacing w:line="700" w:lineRule="exact"/>
        <w:ind w:firstLine="4016" w:firstLineChars="1250"/>
        <w:rPr>
          <w:rFonts w:hint="default" w:ascii="宋体" w:eastAsia="宋体" w:cs="宋体"/>
          <w:b/>
          <w:bCs/>
          <w:color w:val="auto"/>
          <w:spacing w:val="20"/>
          <w:sz w:val="32"/>
          <w:szCs w:val="32"/>
          <w:highlight w:val="none"/>
          <w:lang w:val="en-US" w:eastAsia="zh-CN"/>
        </w:rPr>
      </w:pPr>
      <w:r>
        <w:rPr>
          <w:rFonts w:ascii="宋体" w:cs="宋体"/>
          <w:b/>
          <w:bCs/>
          <w:color w:val="auto"/>
          <w:sz w:val="32"/>
          <w:highlight w:val="none"/>
          <w:u w:val="single"/>
        </w:rPr>
        <w:t>202</w:t>
      </w:r>
      <w:r>
        <w:rPr>
          <w:rFonts w:hint="eastAsia" w:ascii="宋体" w:cs="宋体"/>
          <w:b/>
          <w:bCs/>
          <w:color w:val="auto"/>
          <w:sz w:val="32"/>
          <w:highlight w:val="none"/>
          <w:u w:val="single"/>
          <w:lang w:val="en-US" w:eastAsia="zh-CN"/>
        </w:rPr>
        <w:t>4</w:t>
      </w:r>
      <w:r>
        <w:rPr>
          <w:rFonts w:ascii="宋体" w:cs="宋体"/>
          <w:b/>
          <w:bCs/>
          <w:color w:val="auto"/>
          <w:sz w:val="32"/>
          <w:highlight w:val="none"/>
          <w:u w:val="single"/>
        </w:rPr>
        <w:t xml:space="preserve"> </w:t>
      </w:r>
      <w:r>
        <w:rPr>
          <w:rFonts w:hint="eastAsia" w:ascii="宋体" w:cs="宋体"/>
          <w:b/>
          <w:bCs/>
          <w:color w:val="auto"/>
          <w:sz w:val="32"/>
          <w:highlight w:val="none"/>
        </w:rPr>
        <w:t>年</w:t>
      </w:r>
      <w:r>
        <w:rPr>
          <w:rFonts w:ascii="宋体" w:cs="宋体"/>
          <w:b/>
          <w:bCs/>
          <w:color w:val="auto"/>
          <w:sz w:val="32"/>
          <w:highlight w:val="none"/>
          <w:u w:val="single"/>
        </w:rPr>
        <w:t xml:space="preserve"> </w:t>
      </w:r>
      <w:r>
        <w:rPr>
          <w:rFonts w:hint="eastAsia" w:ascii="宋体" w:cs="宋体"/>
          <w:b/>
          <w:bCs/>
          <w:color w:val="auto"/>
          <w:sz w:val="32"/>
          <w:highlight w:val="none"/>
          <w:u w:val="single"/>
          <w:lang w:val="en-US" w:eastAsia="zh-CN"/>
        </w:rPr>
        <w:t>8</w:t>
      </w:r>
      <w:r>
        <w:rPr>
          <w:rFonts w:ascii="宋体" w:cs="宋体"/>
          <w:b/>
          <w:bCs/>
          <w:color w:val="auto"/>
          <w:sz w:val="32"/>
          <w:highlight w:val="none"/>
          <w:u w:val="single"/>
        </w:rPr>
        <w:t xml:space="preserve"> </w:t>
      </w:r>
      <w:r>
        <w:rPr>
          <w:rFonts w:hint="eastAsia" w:ascii="宋体" w:cs="宋体"/>
          <w:b/>
          <w:bCs/>
          <w:color w:val="auto"/>
          <w:sz w:val="32"/>
          <w:highlight w:val="none"/>
        </w:rPr>
        <w:t>月</w:t>
      </w:r>
      <w:r>
        <w:rPr>
          <w:rFonts w:hint="eastAsia" w:ascii="宋体" w:cs="宋体"/>
          <w:b/>
          <w:bCs/>
          <w:color w:val="auto"/>
          <w:sz w:val="32"/>
          <w:highlight w:val="none"/>
          <w:u w:val="single"/>
          <w:lang w:val="en-US" w:eastAsia="zh-CN"/>
        </w:rPr>
        <w:t>27</w:t>
      </w:r>
      <w:r>
        <w:rPr>
          <w:rFonts w:hint="eastAsia" w:ascii="宋体" w:cs="宋体"/>
          <w:b/>
          <w:bCs/>
          <w:color w:val="auto"/>
          <w:sz w:val="32"/>
          <w:highlight w:val="none"/>
          <w:lang w:val="en-US" w:eastAsia="zh-CN"/>
        </w:rPr>
        <w:t>日</w:t>
      </w:r>
    </w:p>
    <w:p w14:paraId="208D94E3">
      <w:pPr>
        <w:spacing w:line="700" w:lineRule="exact"/>
        <w:rPr>
          <w:rFonts w:ascii="宋体"/>
          <w:color w:val="auto"/>
          <w:highlight w:val="none"/>
        </w:rPr>
        <w:sectPr>
          <w:headerReference r:id="rId4" w:type="first"/>
          <w:footerReference r:id="rId6" w:type="first"/>
          <w:headerReference r:id="rId3" w:type="default"/>
          <w:footerReference r:id="rId5" w:type="default"/>
          <w:pgSz w:w="11906" w:h="16838"/>
          <w:pgMar w:top="935" w:right="1106" w:bottom="936" w:left="1259" w:header="680" w:footer="680" w:gutter="0"/>
          <w:cols w:space="0" w:num="1"/>
          <w:titlePg/>
          <w:docGrid w:type="lines" w:linePitch="318" w:charSpace="0"/>
        </w:sectPr>
      </w:pPr>
    </w:p>
    <w:p w14:paraId="6D169B62">
      <w:pPr>
        <w:spacing w:line="700" w:lineRule="exact"/>
        <w:jc w:val="center"/>
        <w:rPr>
          <w:rFonts w:ascii="宋体" w:hAnsi="宋体" w:cs="宋体"/>
          <w:b/>
          <w:bCs/>
          <w:color w:val="auto"/>
          <w:highlight w:val="none"/>
        </w:rPr>
      </w:pPr>
    </w:p>
    <w:p w14:paraId="22C8E241">
      <w:pPr>
        <w:spacing w:line="7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sdt>
      <w:sdtPr>
        <w:rPr>
          <w:rFonts w:ascii="宋体" w:hAnsi="宋体"/>
          <w:b/>
          <w:bCs/>
          <w:color w:val="auto"/>
          <w:highlight w:val="none"/>
        </w:rPr>
        <w:id w:val="147454049"/>
        <w15:color w:val="DBDBDB"/>
        <w:docPartObj>
          <w:docPartGallery w:val="Table of Contents"/>
          <w:docPartUnique/>
        </w:docPartObj>
      </w:sdtPr>
      <w:sdtEndPr>
        <w:rPr>
          <w:rFonts w:hint="eastAsia" w:ascii="Times New Roman" w:hAnsi="Times New Roman"/>
          <w:b/>
          <w:bCs/>
          <w:color w:val="auto"/>
          <w:sz w:val="28"/>
          <w:szCs w:val="28"/>
          <w:highlight w:val="none"/>
        </w:rPr>
      </w:sdtEndPr>
      <w:sdtContent>
        <w:p w14:paraId="2C5A659E">
          <w:pPr>
            <w:jc w:val="center"/>
            <w:rPr>
              <w:color w:val="auto"/>
              <w:highlight w:val="none"/>
            </w:rPr>
          </w:pPr>
        </w:p>
        <w:p w14:paraId="5D8A92A8">
          <w:pPr>
            <w:pStyle w:val="31"/>
            <w:tabs>
              <w:tab w:val="right" w:leader="dot" w:pos="9541"/>
              <w:tab w:val="clear" w:pos="829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16811383">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_Toc27970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第一章</w:t>
          </w:r>
          <w:r>
            <w:rPr>
              <w:rFonts w:hint="eastAsia" w:ascii="宋体" w:hAnsi="宋体" w:eastAsia="宋体" w:cs="宋体"/>
              <w:color w:val="auto"/>
              <w:szCs w:val="28"/>
              <w:highlight w:val="none"/>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32"/>
              <w:highlight w:val="none"/>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AD7DFC">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_Toc21817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4EE19BF">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2"/>
              <w:highlight w:val="none"/>
            </w:rPr>
            <w:t xml:space="preserve">第三章 </w:t>
          </w:r>
          <w:r>
            <w:rPr>
              <w:rFonts w:hint="eastAsia" w:ascii="宋体" w:hAnsi="宋体" w:eastAsia="宋体" w:cs="宋体"/>
              <w:color w:val="auto"/>
              <w:szCs w:val="32"/>
              <w:highlight w:val="none"/>
              <w:lang w:val="en-US" w:eastAsia="zh-CN"/>
            </w:rPr>
            <w:t xml:space="preserve"> </w:t>
          </w:r>
          <w:r>
            <w:rPr>
              <w:rFonts w:hint="eastAsia" w:ascii="宋体" w:hAnsi="宋体" w:eastAsia="宋体" w:cs="宋体"/>
              <w:color w:val="auto"/>
              <w:szCs w:val="32"/>
              <w:highlight w:val="none"/>
            </w:rPr>
            <w:t>评标办法（</w:t>
          </w:r>
          <w:r>
            <w:rPr>
              <w:rFonts w:hint="eastAsia" w:ascii="宋体" w:hAnsi="宋体" w:eastAsia="宋体" w:cs="宋体"/>
              <w:color w:val="auto"/>
              <w:szCs w:val="32"/>
              <w:highlight w:val="none"/>
              <w:lang w:eastAsia="zh-CN"/>
            </w:rPr>
            <w:t>综合评估法</w:t>
          </w:r>
          <w:r>
            <w:rPr>
              <w:rFonts w:hint="eastAsia" w:ascii="宋体" w:hAnsi="宋体" w:eastAsia="宋体" w:cs="宋体"/>
              <w:color w:val="auto"/>
              <w:szCs w:val="32"/>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3786E3">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_Toc13446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lang w:val="en-US" w:eastAsia="zh-CN"/>
            </w:rPr>
            <w:t>第四章</w:t>
          </w:r>
          <w:r>
            <w:rPr>
              <w:rFonts w:hint="eastAsia" w:ascii="宋体" w:hAnsi="宋体" w:eastAsia="宋体" w:cs="宋体"/>
              <w:color w:val="auto"/>
              <w:kern w:val="2"/>
              <w:szCs w:val="28"/>
              <w:highlight w:val="none"/>
            </w:rPr>
            <w:t xml:space="preserve">  采购需求及服务要求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3E183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_Toc14427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五</w:t>
          </w:r>
          <w:r>
            <w:rPr>
              <w:rFonts w:hint="eastAsia" w:ascii="宋体" w:hAnsi="宋体" w:eastAsia="宋体" w:cs="宋体"/>
              <w:color w:val="auto"/>
              <w:kern w:val="2"/>
              <w:szCs w:val="28"/>
              <w:highlight w:val="none"/>
            </w:rPr>
            <w:t>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8F341F">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_Toc20559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六</w:t>
          </w:r>
          <w:r>
            <w:rPr>
              <w:rFonts w:hint="eastAsia" w:ascii="宋体" w:hAnsi="宋体" w:eastAsia="宋体" w:cs="宋体"/>
              <w:color w:val="auto"/>
              <w:kern w:val="2"/>
              <w:szCs w:val="28"/>
              <w:highlight w:val="none"/>
            </w:rPr>
            <w:t>章投标文件格式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D3A05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_Toc6092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Cs w:val="28"/>
              <w:highlight w:val="none"/>
            </w:rPr>
            <w:t>第</w:t>
          </w:r>
          <w:r>
            <w:rPr>
              <w:rFonts w:hint="eastAsia" w:ascii="宋体" w:hAnsi="宋体" w:eastAsia="宋体" w:cs="宋体"/>
              <w:color w:val="auto"/>
              <w:kern w:val="2"/>
              <w:szCs w:val="28"/>
              <w:highlight w:val="none"/>
              <w:lang w:val="en-US" w:eastAsia="zh-CN"/>
            </w:rPr>
            <w:t>七</w:t>
          </w:r>
          <w:r>
            <w:rPr>
              <w:rFonts w:hint="eastAsia" w:ascii="宋体" w:hAnsi="宋体" w:eastAsia="宋体" w:cs="宋体"/>
              <w:color w:val="auto"/>
              <w:kern w:val="2"/>
              <w:szCs w:val="28"/>
              <w:highlight w:val="none"/>
            </w:rPr>
            <w:t>章招标单位、招标代理机构对本招标文件的确认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F76FC2">
          <w:pPr>
            <w:rPr>
              <w:color w:val="auto"/>
              <w:highlight w:val="none"/>
            </w:rPr>
          </w:pPr>
          <w:r>
            <w:rPr>
              <w:color w:val="auto"/>
              <w:highlight w:val="none"/>
            </w:rPr>
            <w:fldChar w:fldCharType="end"/>
          </w:r>
        </w:p>
        <w:p w14:paraId="02C17448">
          <w:pPr>
            <w:pStyle w:val="6"/>
            <w:spacing w:before="0" w:after="0" w:line="700" w:lineRule="exact"/>
            <w:rPr>
              <w:rFonts w:ascii="仿宋" w:cs="仿宋"/>
              <w:b w:val="0"/>
              <w:bCs w:val="0"/>
              <w:color w:val="auto"/>
              <w:sz w:val="24"/>
              <w:szCs w:val="24"/>
              <w:highlight w:val="none"/>
            </w:rPr>
          </w:pPr>
        </w:p>
      </w:sdtContent>
    </w:sdt>
    <w:p w14:paraId="6A79D3F4">
      <w:pPr>
        <w:rPr>
          <w:color w:val="auto"/>
          <w:highlight w:val="none"/>
        </w:rPr>
        <w:sectPr>
          <w:footerReference r:id="rId8" w:type="first"/>
          <w:footerReference r:id="rId7" w:type="default"/>
          <w:pgSz w:w="11906" w:h="16838"/>
          <w:pgMar w:top="935" w:right="1106" w:bottom="936" w:left="1259" w:header="680" w:footer="680" w:gutter="0"/>
          <w:pgNumType w:start="1"/>
          <w:cols w:space="0" w:num="1"/>
          <w:docGrid w:type="lines" w:linePitch="318" w:charSpace="0"/>
        </w:sectPr>
      </w:pPr>
    </w:p>
    <w:p w14:paraId="04805201">
      <w:pPr>
        <w:keepNext w:val="0"/>
        <w:keepLines w:val="0"/>
        <w:pageBreakBefore w:val="0"/>
        <w:widowControl/>
        <w:kinsoku/>
        <w:wordWrap/>
        <w:overflowPunct/>
        <w:topLinePunct w:val="0"/>
        <w:autoSpaceDE/>
        <w:autoSpaceDN/>
        <w:bidi w:val="0"/>
        <w:adjustRightInd/>
        <w:snapToGrid/>
        <w:spacing w:line="440" w:lineRule="exact"/>
        <w:jc w:val="center"/>
        <w:textAlignment w:val="baseline"/>
        <w:outlineLvl w:val="0"/>
        <w:rPr>
          <w:rFonts w:ascii="宋体" w:hAnsi="宋体" w:cs="宋体"/>
          <w:b/>
          <w:color w:val="auto"/>
          <w:sz w:val="32"/>
          <w:szCs w:val="32"/>
          <w:highlight w:val="none"/>
        </w:rPr>
      </w:pPr>
      <w:bookmarkStart w:id="3" w:name="_Toc24106"/>
      <w:bookmarkStart w:id="4" w:name="_Toc27970"/>
      <w:bookmarkStart w:id="5" w:name="_Toc11640"/>
      <w:r>
        <w:rPr>
          <w:rFonts w:hint="eastAsia" w:ascii="宋体" w:hAnsi="宋体" w:eastAsia="宋体" w:cs="宋体"/>
          <w:b/>
          <w:color w:val="auto"/>
          <w:sz w:val="32"/>
          <w:szCs w:val="32"/>
          <w:highlight w:val="none"/>
        </w:rPr>
        <w:t>第一章</w:t>
      </w:r>
      <w:r>
        <w:rPr>
          <w:rFonts w:hint="eastAsia" w:ascii="宋体" w:hAnsi="宋体" w:cs="宋体"/>
          <w:color w:val="auto"/>
          <w:sz w:val="28"/>
          <w:szCs w:val="28"/>
          <w:highlight w:val="none"/>
        </w:rPr>
        <w:t xml:space="preserve"> </w:t>
      </w:r>
      <w:bookmarkEnd w:id="3"/>
      <w:r>
        <w:rPr>
          <w:rFonts w:hint="eastAsia" w:ascii="宋体" w:hAnsi="宋体" w:cs="宋体"/>
          <w:b/>
          <w:color w:val="auto"/>
          <w:sz w:val="32"/>
          <w:szCs w:val="32"/>
          <w:highlight w:val="none"/>
        </w:rPr>
        <w:t>招标公告</w:t>
      </w:r>
      <w:bookmarkEnd w:id="4"/>
      <w:bookmarkEnd w:id="5"/>
    </w:p>
    <w:p w14:paraId="5A37CB58">
      <w:pPr>
        <w:pStyle w:val="7"/>
        <w:numPr>
          <w:ilvl w:val="1"/>
          <w:numId w:val="0"/>
        </w:numPr>
        <w:spacing w:line="400" w:lineRule="exact"/>
        <w:ind w:left="431"/>
        <w:rPr>
          <w:rFonts w:ascii="宋体" w:hAnsi="宋体" w:eastAsia="宋体" w:cs="宋体"/>
          <w:color w:val="auto"/>
          <w:sz w:val="24"/>
          <w:szCs w:val="24"/>
          <w:highlight w:val="none"/>
        </w:rPr>
      </w:pPr>
      <w:bookmarkStart w:id="6" w:name="_Toc28359002"/>
      <w:bookmarkStart w:id="7" w:name="_Toc35393621"/>
      <w:bookmarkStart w:id="8" w:name="_Toc28359079"/>
      <w:bookmarkStart w:id="9" w:name="_Toc35393790"/>
      <w:bookmarkStart w:id="10" w:name="_Toc58430305"/>
      <w:bookmarkStart w:id="11" w:name="_Hlk24379207"/>
      <w:r>
        <w:rPr>
          <w:rFonts w:hint="eastAsia" w:ascii="宋体" w:hAnsi="宋体" w:eastAsia="宋体" w:cs="宋体"/>
          <w:color w:val="auto"/>
          <w:sz w:val="24"/>
          <w:szCs w:val="24"/>
          <w:highlight w:val="none"/>
        </w:rPr>
        <w:t>一、项目基本情况</w:t>
      </w:r>
      <w:bookmarkEnd w:id="6"/>
      <w:bookmarkEnd w:id="7"/>
      <w:bookmarkEnd w:id="8"/>
      <w:bookmarkEnd w:id="9"/>
      <w:bookmarkEnd w:id="10"/>
    </w:p>
    <w:bookmarkEnd w:id="11"/>
    <w:p w14:paraId="429C66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12" w:name="_Toc35393791"/>
      <w:bookmarkStart w:id="13" w:name="_Toc28359003"/>
      <w:bookmarkStart w:id="14" w:name="_Toc35393622"/>
      <w:bookmarkStart w:id="15" w:name="_Toc58430306"/>
      <w:bookmarkStart w:id="16" w:name="_Toc28359080"/>
      <w:r>
        <w:rPr>
          <w:rFonts w:hint="eastAsia" w:ascii="宋体" w:hAnsi="宋体" w:eastAsia="宋体" w:cs="宋体"/>
          <w:color w:val="auto"/>
          <w:sz w:val="24"/>
          <w:szCs w:val="24"/>
          <w:highlight w:val="none"/>
        </w:rPr>
        <w:t>项目名称：滁州市建筑垃圾综合处置项目（一期）工程量清单及最高投标限价编制服务项目</w:t>
      </w:r>
    </w:p>
    <w:p w14:paraId="0AC404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预算金额：项目工程</w:t>
      </w:r>
      <w:r>
        <w:rPr>
          <w:rFonts w:hint="eastAsia" w:ascii="宋体" w:hAnsi="宋体" w:cs="宋体"/>
          <w:color w:val="auto"/>
          <w:sz w:val="24"/>
          <w:szCs w:val="24"/>
          <w:highlight w:val="none"/>
          <w:lang w:val="en-US" w:eastAsia="zh-CN"/>
        </w:rPr>
        <w:t>总投资</w:t>
      </w:r>
      <w:r>
        <w:rPr>
          <w:rFonts w:hint="eastAsia" w:ascii="宋体" w:hAnsi="宋体" w:eastAsia="宋体" w:cs="宋体"/>
          <w:color w:val="auto"/>
          <w:sz w:val="24"/>
          <w:szCs w:val="24"/>
          <w:highlight w:val="none"/>
        </w:rPr>
        <w:t>约</w:t>
      </w:r>
      <w:r>
        <w:rPr>
          <w:rFonts w:hint="eastAsia" w:ascii="宋体" w:hAnsi="宋体" w:cs="宋体"/>
          <w:color w:val="auto"/>
          <w:sz w:val="24"/>
          <w:szCs w:val="24"/>
          <w:highlight w:val="none"/>
          <w:lang w:val="en-US" w:eastAsia="zh-CN"/>
        </w:rPr>
        <w:t>8000万元，服务费用约15.84万元</w:t>
      </w:r>
      <w:r>
        <w:rPr>
          <w:rFonts w:hint="eastAsia" w:ascii="宋体" w:hAnsi="宋体" w:eastAsia="宋体" w:cs="宋体"/>
          <w:color w:val="auto"/>
          <w:sz w:val="24"/>
          <w:szCs w:val="24"/>
          <w:highlight w:val="none"/>
        </w:rPr>
        <w:t>。</w:t>
      </w:r>
    </w:p>
    <w:p w14:paraId="6A322E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最高限价：本项目的最高限价为：按《安徽省建设工程造价咨询服务项目及收费标准》（皖价服〔2007〕86号）计算的费用×</w:t>
      </w:r>
      <w:r>
        <w:rPr>
          <w:rFonts w:hint="eastAsia" w:ascii="宋体" w:hAnsi="宋体" w:cs="宋体"/>
          <w:color w:val="auto"/>
          <w:sz w:val="24"/>
          <w:szCs w:val="24"/>
          <w:highlight w:val="none"/>
          <w:u w:val="single"/>
          <w:lang w:val="en-US" w:eastAsia="zh-CN"/>
        </w:rPr>
        <w:t xml:space="preserve"> 55 </w:t>
      </w:r>
      <w:r>
        <w:rPr>
          <w:rFonts w:hint="eastAsia" w:ascii="宋体" w:hAnsi="宋体" w:eastAsia="宋体" w:cs="宋体"/>
          <w:color w:val="auto"/>
          <w:sz w:val="24"/>
          <w:szCs w:val="24"/>
          <w:highlight w:val="none"/>
        </w:rPr>
        <w:t>%，投标单位投标报价不得高于上述最高限价，否则按无效标处理</w:t>
      </w:r>
      <w:r>
        <w:rPr>
          <w:rFonts w:hint="eastAsia" w:ascii="宋体" w:hAnsi="宋体" w:cs="宋体"/>
          <w:color w:val="auto"/>
          <w:sz w:val="24"/>
          <w:szCs w:val="24"/>
          <w:highlight w:val="none"/>
          <w:lang w:eastAsia="zh-CN"/>
        </w:rPr>
        <w:t>。</w:t>
      </w:r>
    </w:p>
    <w:p w14:paraId="2C0D12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eastAsia="zh-CN"/>
        </w:rPr>
        <w:t>：依据招标人提供的全套设计施工图纸进行本工程的工程量清单及最高投标限价的编制</w:t>
      </w:r>
      <w:r>
        <w:rPr>
          <w:rFonts w:hint="eastAsia" w:ascii="宋体" w:hAnsi="宋体" w:cs="宋体"/>
          <w:color w:val="auto"/>
          <w:sz w:val="24"/>
          <w:szCs w:val="24"/>
          <w:highlight w:val="none"/>
          <w:lang w:eastAsia="zh-CN"/>
        </w:rPr>
        <w:t>。</w:t>
      </w:r>
    </w:p>
    <w:p w14:paraId="3F976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合同履行期限：</w:t>
      </w:r>
      <w:r>
        <w:rPr>
          <w:rFonts w:hint="eastAsia" w:ascii="宋体" w:hAnsi="宋体" w:cs="宋体"/>
          <w:color w:val="auto"/>
          <w:sz w:val="24"/>
          <w:szCs w:val="24"/>
          <w:highlight w:val="none"/>
          <w:lang w:val="en-US" w:eastAsia="zh-CN"/>
        </w:rPr>
        <w:t>接到招标人通知之日起</w:t>
      </w:r>
      <w:r>
        <w:rPr>
          <w:rFonts w:hint="eastAsia" w:ascii="宋体" w:hAnsi="宋体" w:eastAsia="宋体" w:cs="宋体"/>
          <w:color w:val="auto"/>
          <w:sz w:val="24"/>
          <w:szCs w:val="24"/>
          <w:highlight w:val="none"/>
        </w:rPr>
        <w:t>不高于</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个日历天，完成清单、最高投标限价的编制及最高投标限价备案工作，并向项目单位提交造价成果及最高投标限价备案表。投标人自报的承诺工期为考核标准，投标人若不能如期完成，须承担违约责任</w:t>
      </w:r>
      <w:r>
        <w:rPr>
          <w:rFonts w:hint="eastAsia" w:ascii="宋体" w:hAnsi="宋体" w:eastAsia="宋体" w:cs="宋体"/>
          <w:color w:val="auto"/>
          <w:sz w:val="24"/>
          <w:szCs w:val="24"/>
          <w:highlight w:val="none"/>
          <w:lang w:val="en-US" w:eastAsia="zh-CN"/>
        </w:rPr>
        <w:t>。</w:t>
      </w:r>
    </w:p>
    <w:p w14:paraId="45274A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615869AD">
      <w:pPr>
        <w:pStyle w:val="7"/>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bookmarkEnd w:id="12"/>
      <w:bookmarkEnd w:id="13"/>
      <w:bookmarkEnd w:id="14"/>
      <w:bookmarkEnd w:id="15"/>
      <w:bookmarkEnd w:id="16"/>
      <w:r>
        <w:rPr>
          <w:rFonts w:hint="eastAsia" w:ascii="宋体" w:hAnsi="宋体" w:eastAsia="宋体" w:cs="宋体"/>
          <w:color w:val="auto"/>
          <w:sz w:val="24"/>
          <w:szCs w:val="24"/>
          <w:highlight w:val="none"/>
        </w:rPr>
        <w:t xml:space="preserve"> </w:t>
      </w:r>
      <w:r>
        <w:rPr>
          <w:rFonts w:ascii="宋体" w:hAnsi="宋体" w:eastAsia="宋体" w:cs="宋体"/>
          <w:color w:val="auto"/>
          <w:sz w:val="24"/>
          <w:szCs w:val="24"/>
          <w:highlight w:val="none"/>
        </w:rPr>
        <w:t xml:space="preserve">  </w:t>
      </w:r>
    </w:p>
    <w:p w14:paraId="2CD62E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bookmarkStart w:id="17" w:name="_Toc35393792"/>
      <w:bookmarkStart w:id="18" w:name="_Toc35393623"/>
      <w:bookmarkStart w:id="19" w:name="_Toc28359004"/>
      <w:bookmarkStart w:id="20" w:name="_Toc58430307"/>
      <w:bookmarkStart w:id="21" w:name="_Toc28359081"/>
      <w:r>
        <w:rPr>
          <w:rFonts w:hint="eastAsia" w:ascii="宋体" w:hAnsi="宋体" w:eastAsia="宋体" w:cs="宋体"/>
          <w:color w:val="auto"/>
          <w:sz w:val="24"/>
          <w:szCs w:val="24"/>
          <w:highlight w:val="none"/>
        </w:rPr>
        <w:t>1.投标人要求：投标人为具有承担本项目相应服务能力的企业；</w:t>
      </w:r>
      <w:bookmarkStart w:id="162" w:name="_GoBack"/>
      <w:bookmarkEnd w:id="162"/>
      <w:r>
        <w:rPr>
          <w:rFonts w:hint="eastAsia" w:ascii="宋体" w:hAnsi="宋体" w:eastAsia="宋体" w:cs="宋体"/>
          <w:color w:val="auto"/>
          <w:sz w:val="24"/>
          <w:szCs w:val="24"/>
          <w:highlight w:val="none"/>
        </w:rPr>
        <w:t>有效的营业执照、税务登记证、组织机构码证（或“三证合一证书”）；</w:t>
      </w:r>
      <w:r>
        <w:rPr>
          <w:rFonts w:hint="eastAsia" w:ascii="宋体" w:hAnsi="宋体" w:eastAsia="宋体" w:cs="宋体"/>
          <w:color w:val="auto"/>
          <w:sz w:val="24"/>
          <w:szCs w:val="24"/>
          <w:highlight w:val="none"/>
          <w:lang w:val="en-US" w:eastAsia="zh-CN"/>
        </w:rPr>
        <w:t xml:space="preserve"> </w:t>
      </w:r>
    </w:p>
    <w:p w14:paraId="2563AD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2.项目负责人要求：须具有建设部颁发的中华人民共和国注册造价工程师（或一级造价工程师）资格且专业为土木建筑工程；</w:t>
      </w:r>
    </w:p>
    <w:p w14:paraId="01A27D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项目组成员（不含项目负责人）要求：项目组成员不少于2人（土建专业不少于1名、安装专业不少于1名），须具有二级及以上注册造价师证书。</w:t>
      </w:r>
    </w:p>
    <w:p w14:paraId="23536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14:paraId="47F07E50">
      <w:pPr>
        <w:pStyle w:val="7"/>
        <w:numPr>
          <w:ilvl w:val="1"/>
          <w:numId w:val="0"/>
        </w:numPr>
        <w:spacing w:line="400" w:lineRule="exact"/>
        <w:ind w:left="851" w:hanging="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7"/>
      <w:bookmarkEnd w:id="18"/>
      <w:bookmarkEnd w:id="19"/>
      <w:bookmarkEnd w:id="20"/>
      <w:bookmarkEnd w:id="21"/>
    </w:p>
    <w:p w14:paraId="557556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iCs/>
          <w:color w:val="auto"/>
          <w:sz w:val="24"/>
          <w:szCs w:val="24"/>
          <w:highlight w:val="none"/>
          <w:u w:val="singl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20</w:t>
      </w:r>
      <w:r>
        <w:rPr>
          <w:rFonts w:hint="eastAsia" w:ascii="宋体" w:hAnsi="宋体" w:cs="宋体"/>
          <w:color w:val="auto"/>
          <w:sz w:val="24"/>
          <w:szCs w:val="24"/>
          <w:highlight w:val="none"/>
          <w:u w:val="single"/>
          <w:lang w:val="en-US" w:eastAsia="zh-CN"/>
        </w:rPr>
        <w:t>24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8</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27</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 xml:space="preserve"> 202</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日</w:t>
      </w:r>
    </w:p>
    <w:p w14:paraId="17211B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方式：网上下载</w:t>
      </w:r>
    </w:p>
    <w:p w14:paraId="46B304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售价：0元</w:t>
      </w:r>
    </w:p>
    <w:p w14:paraId="5210E396">
      <w:pPr>
        <w:pStyle w:val="7"/>
        <w:numPr>
          <w:ilvl w:val="1"/>
          <w:numId w:val="0"/>
        </w:numPr>
        <w:spacing w:line="400" w:lineRule="exact"/>
        <w:ind w:left="851" w:hanging="420"/>
        <w:rPr>
          <w:rFonts w:ascii="宋体" w:hAnsi="宋体" w:eastAsia="宋体" w:cs="宋体"/>
          <w:color w:val="auto"/>
          <w:sz w:val="24"/>
          <w:szCs w:val="24"/>
          <w:highlight w:val="none"/>
        </w:rPr>
      </w:pPr>
      <w:bookmarkStart w:id="22" w:name="_Toc28359082"/>
      <w:bookmarkStart w:id="23" w:name="_Toc28359005"/>
      <w:bookmarkStart w:id="24" w:name="_Toc58430308"/>
      <w:bookmarkStart w:id="25" w:name="_Toc35393624"/>
      <w:bookmarkStart w:id="26" w:name="_Toc35393793"/>
      <w:r>
        <w:rPr>
          <w:rFonts w:hint="eastAsia" w:ascii="宋体" w:hAnsi="宋体" w:eastAsia="宋体" w:cs="宋体"/>
          <w:color w:val="auto"/>
          <w:sz w:val="24"/>
          <w:szCs w:val="24"/>
          <w:highlight w:val="none"/>
        </w:rPr>
        <w:t>四、提交投标文件</w:t>
      </w:r>
      <w:bookmarkEnd w:id="22"/>
      <w:bookmarkEnd w:id="23"/>
      <w:r>
        <w:rPr>
          <w:rFonts w:hint="eastAsia" w:ascii="宋体" w:hAnsi="宋体" w:eastAsia="宋体" w:cs="宋体"/>
          <w:color w:val="auto"/>
          <w:sz w:val="24"/>
          <w:szCs w:val="24"/>
          <w:highlight w:val="none"/>
        </w:rPr>
        <w:t>截止时间、开标时间和地点</w:t>
      </w:r>
      <w:bookmarkEnd w:id="24"/>
      <w:bookmarkEnd w:id="25"/>
      <w:bookmarkEnd w:id="26"/>
    </w:p>
    <w:p w14:paraId="471242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电子投标文件递交截止时间：2024年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时00分（北京时间）</w:t>
      </w:r>
    </w:p>
    <w:p w14:paraId="5D3FDB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递交方式：网上递交，发送至电子邮箱：czsctgczx@163.com（滁州市城投工程咨询管理有限公司邮箱）</w:t>
      </w:r>
    </w:p>
    <w:p w14:paraId="6F517C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开标时间地点：开标时间同投标文件递交截止时间，滁州市龙蟠大道109号房产商务大厦6楼603会议室。</w:t>
      </w:r>
    </w:p>
    <w:p w14:paraId="4B309495">
      <w:pPr>
        <w:pStyle w:val="7"/>
        <w:numPr>
          <w:ilvl w:val="1"/>
          <w:numId w:val="0"/>
        </w:numPr>
        <w:spacing w:line="400" w:lineRule="exact"/>
        <w:ind w:left="851" w:hanging="420"/>
        <w:rPr>
          <w:rFonts w:ascii="宋体" w:hAnsi="宋体" w:eastAsia="宋体" w:cs="宋体"/>
          <w:color w:val="auto"/>
          <w:sz w:val="24"/>
          <w:szCs w:val="24"/>
          <w:highlight w:val="none"/>
        </w:rPr>
      </w:pPr>
      <w:bookmarkStart w:id="27" w:name="_Toc28359007"/>
      <w:bookmarkStart w:id="28" w:name="_Toc35393794"/>
      <w:bookmarkStart w:id="29" w:name="_Toc58430309"/>
      <w:bookmarkStart w:id="30" w:name="_Toc35393625"/>
      <w:bookmarkStart w:id="31" w:name="_Toc28359084"/>
      <w:r>
        <w:rPr>
          <w:rFonts w:hint="eastAsia" w:ascii="宋体" w:hAnsi="宋体" w:eastAsia="宋体" w:cs="宋体"/>
          <w:color w:val="auto"/>
          <w:sz w:val="24"/>
          <w:szCs w:val="24"/>
          <w:highlight w:val="none"/>
        </w:rPr>
        <w:t>五、</w:t>
      </w:r>
      <w:bookmarkEnd w:id="27"/>
      <w:bookmarkEnd w:id="28"/>
      <w:bookmarkEnd w:id="29"/>
      <w:bookmarkEnd w:id="30"/>
      <w:bookmarkEnd w:id="31"/>
      <w:bookmarkStart w:id="32" w:name="_Toc58430310"/>
      <w:r>
        <w:rPr>
          <w:rFonts w:hint="eastAsia" w:ascii="宋体" w:hAnsi="宋体" w:eastAsia="宋体" w:cs="宋体"/>
          <w:color w:val="auto"/>
          <w:sz w:val="24"/>
          <w:szCs w:val="24"/>
          <w:highlight w:val="none"/>
        </w:rPr>
        <w:t>投标保证金金额及缴纳账户</w:t>
      </w:r>
      <w:bookmarkEnd w:id="32"/>
    </w:p>
    <w:p w14:paraId="7AF68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是否要求投标人提交投标保证金：</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要求。</w:t>
      </w:r>
    </w:p>
    <w:p w14:paraId="4752C3E8">
      <w:pPr>
        <w:pStyle w:val="7"/>
        <w:numPr>
          <w:ilvl w:val="1"/>
          <w:numId w:val="0"/>
        </w:numPr>
        <w:spacing w:line="400" w:lineRule="exact"/>
        <w:ind w:left="851" w:hanging="420"/>
        <w:rPr>
          <w:rFonts w:ascii="宋体" w:hAnsi="宋体" w:eastAsia="宋体" w:cs="宋体"/>
          <w:color w:val="auto"/>
          <w:sz w:val="24"/>
          <w:szCs w:val="24"/>
          <w:highlight w:val="none"/>
        </w:rPr>
      </w:pPr>
      <w:bookmarkStart w:id="33" w:name="_Toc58430312"/>
      <w:r>
        <w:rPr>
          <w:rFonts w:hint="eastAsia" w:ascii="宋体" w:hAnsi="宋体" w:eastAsia="宋体" w:cs="宋体"/>
          <w:color w:val="auto"/>
          <w:sz w:val="24"/>
          <w:szCs w:val="24"/>
          <w:highlight w:val="none"/>
        </w:rPr>
        <w:t>六、对本次招标提出询问，请按以下方式联系</w:t>
      </w:r>
      <w:bookmarkEnd w:id="33"/>
    </w:p>
    <w:p w14:paraId="2F7147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1.招标人信息</w:t>
      </w:r>
    </w:p>
    <w:p w14:paraId="1B69E6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称：滁州市皖能兴滁环境科技有限公司</w:t>
      </w:r>
    </w:p>
    <w:p w14:paraId="7192E6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址：滁州市城投大厦</w:t>
      </w:r>
      <w:r>
        <w:rPr>
          <w:rFonts w:hint="eastAsia" w:ascii="宋体" w:hAnsi="宋体" w:cs="宋体"/>
          <w:color w:val="auto"/>
          <w:sz w:val="24"/>
          <w:szCs w:val="24"/>
          <w:highlight w:val="none"/>
          <w:lang w:val="en-US" w:eastAsia="zh-CN"/>
        </w:rPr>
        <w:t>内</w:t>
      </w:r>
    </w:p>
    <w:p w14:paraId="0B961C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4" w:name="_Toc28359009"/>
      <w:bookmarkStart w:id="35" w:name="_Toc28359086"/>
      <w:r>
        <w:rPr>
          <w:rFonts w:hint="eastAsia" w:ascii="宋体" w:hAnsi="宋体" w:eastAsia="宋体" w:cs="宋体"/>
          <w:color w:val="auto"/>
          <w:sz w:val="24"/>
          <w:szCs w:val="24"/>
          <w:highlight w:val="none"/>
        </w:rPr>
        <w:t>2.代理机构信息</w:t>
      </w:r>
      <w:bookmarkEnd w:id="34"/>
      <w:bookmarkEnd w:id="35"/>
    </w:p>
    <w:p w14:paraId="14FA69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称：滁州市城投工程咨询管理有限公司</w:t>
      </w:r>
    </w:p>
    <w:p w14:paraId="5522B9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址：滁州市龙蟠大道109号房产大厦六楼</w:t>
      </w:r>
    </w:p>
    <w:p w14:paraId="7D03B6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bookmarkStart w:id="36" w:name="_Toc28359087"/>
      <w:bookmarkStart w:id="37" w:name="_Toc28359010"/>
      <w:r>
        <w:rPr>
          <w:rFonts w:hint="eastAsia" w:ascii="宋体" w:hAnsi="宋体" w:eastAsia="宋体" w:cs="宋体"/>
          <w:color w:val="auto"/>
          <w:sz w:val="24"/>
          <w:szCs w:val="24"/>
          <w:highlight w:val="none"/>
        </w:rPr>
        <w:t>3.项目联系方式</w:t>
      </w:r>
      <w:bookmarkEnd w:id="36"/>
      <w:bookmarkEnd w:id="37"/>
    </w:p>
    <w:p w14:paraId="445416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项目联系人：陈倩倩、江玉龙</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田甜</w:t>
      </w:r>
    </w:p>
    <w:p w14:paraId="3AD818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话：18726618862、18130062551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15955005370</w:t>
      </w:r>
    </w:p>
    <w:p w14:paraId="1FA4F102">
      <w:pPr>
        <w:spacing w:before="159" w:beforeLines="50" w:after="159" w:afterLines="50" w:line="440" w:lineRule="exact"/>
        <w:rPr>
          <w:rFonts w:ascii="宋体" w:hAnsi="宋体" w:cs="宋体"/>
          <w:b/>
          <w:bCs/>
          <w:color w:val="auto"/>
          <w:sz w:val="28"/>
          <w:szCs w:val="28"/>
          <w:highlight w:val="none"/>
        </w:rPr>
      </w:pPr>
    </w:p>
    <w:p w14:paraId="386B7F9E">
      <w:pPr>
        <w:pStyle w:val="27"/>
        <w:rPr>
          <w:rFonts w:ascii="宋体" w:hAnsi="宋体" w:cs="宋体"/>
          <w:b/>
          <w:bCs/>
          <w:color w:val="auto"/>
          <w:sz w:val="28"/>
          <w:szCs w:val="28"/>
          <w:highlight w:val="none"/>
        </w:rPr>
      </w:pPr>
      <w:bookmarkStart w:id="38" w:name="_Toc5455"/>
    </w:p>
    <w:p w14:paraId="144B8021">
      <w:pPr>
        <w:pStyle w:val="27"/>
        <w:rPr>
          <w:rFonts w:ascii="宋体" w:hAnsi="宋体" w:cs="宋体"/>
          <w:b/>
          <w:bCs/>
          <w:color w:val="auto"/>
          <w:sz w:val="28"/>
          <w:szCs w:val="28"/>
          <w:highlight w:val="none"/>
        </w:rPr>
      </w:pPr>
    </w:p>
    <w:p w14:paraId="3C91656F">
      <w:pPr>
        <w:pStyle w:val="27"/>
        <w:rPr>
          <w:rFonts w:ascii="宋体" w:hAnsi="宋体" w:cs="宋体"/>
          <w:b/>
          <w:bCs/>
          <w:color w:val="auto"/>
          <w:sz w:val="28"/>
          <w:szCs w:val="28"/>
          <w:highlight w:val="none"/>
        </w:rPr>
      </w:pPr>
    </w:p>
    <w:p w14:paraId="4B935267">
      <w:pPr>
        <w:pStyle w:val="27"/>
        <w:rPr>
          <w:rFonts w:ascii="宋体" w:hAnsi="宋体" w:cs="宋体"/>
          <w:b/>
          <w:bCs/>
          <w:color w:val="auto"/>
          <w:sz w:val="28"/>
          <w:szCs w:val="28"/>
          <w:highlight w:val="none"/>
        </w:rPr>
      </w:pPr>
    </w:p>
    <w:p w14:paraId="3297F29C">
      <w:pPr>
        <w:pStyle w:val="27"/>
        <w:rPr>
          <w:rFonts w:ascii="宋体" w:hAnsi="宋体" w:cs="宋体"/>
          <w:b/>
          <w:bCs/>
          <w:color w:val="auto"/>
          <w:sz w:val="28"/>
          <w:szCs w:val="28"/>
          <w:highlight w:val="none"/>
        </w:rPr>
      </w:pPr>
    </w:p>
    <w:p w14:paraId="566969AC">
      <w:pPr>
        <w:spacing w:before="159" w:beforeLines="50" w:after="159" w:afterLines="50" w:line="440" w:lineRule="exact"/>
        <w:jc w:val="center"/>
        <w:outlineLvl w:val="0"/>
        <w:rPr>
          <w:rFonts w:ascii="宋体" w:hAnsi="宋体" w:cs="宋体"/>
          <w:b/>
          <w:bCs/>
          <w:color w:val="auto"/>
          <w:sz w:val="28"/>
          <w:szCs w:val="28"/>
          <w:highlight w:val="none"/>
        </w:rPr>
      </w:pPr>
    </w:p>
    <w:p w14:paraId="1E1A40D9">
      <w:pPr>
        <w:spacing w:before="159" w:beforeLines="50" w:after="159" w:afterLines="50" w:line="440" w:lineRule="exact"/>
        <w:jc w:val="center"/>
        <w:outlineLvl w:val="0"/>
        <w:rPr>
          <w:rFonts w:hint="eastAsia" w:ascii="宋体" w:hAnsi="宋体" w:cs="宋体"/>
          <w:b/>
          <w:bCs/>
          <w:color w:val="auto"/>
          <w:sz w:val="28"/>
          <w:szCs w:val="28"/>
          <w:highlight w:val="none"/>
        </w:rPr>
      </w:pPr>
    </w:p>
    <w:p w14:paraId="0846B767">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6DAB962F">
      <w:pPr>
        <w:pStyle w:val="27"/>
        <w:ind w:left="0" w:leftChars="0" w:firstLine="0" w:firstLineChars="0"/>
        <w:jc w:val="center"/>
        <w:outlineLvl w:val="0"/>
        <w:rPr>
          <w:rFonts w:hint="eastAsia" w:ascii="宋体" w:hAnsi="宋体" w:cs="宋体"/>
          <w:b/>
          <w:bCs/>
          <w:color w:val="auto"/>
          <w:sz w:val="28"/>
          <w:szCs w:val="28"/>
          <w:highlight w:val="none"/>
        </w:rPr>
      </w:pPr>
      <w:bookmarkStart w:id="39" w:name="_Toc21817"/>
      <w:r>
        <w:rPr>
          <w:rFonts w:hint="eastAsia" w:ascii="宋体" w:hAnsi="宋体" w:cs="宋体"/>
          <w:b/>
          <w:bCs/>
          <w:color w:val="auto"/>
          <w:sz w:val="28"/>
          <w:szCs w:val="28"/>
          <w:highlight w:val="none"/>
        </w:rPr>
        <w:t>第二章投标须知</w:t>
      </w:r>
      <w:bookmarkEnd w:id="39"/>
    </w:p>
    <w:p w14:paraId="41C53C30">
      <w:pPr>
        <w:spacing w:before="159" w:beforeLines="50" w:after="159" w:afterLines="50" w:line="440" w:lineRule="exact"/>
        <w:jc w:val="center"/>
        <w:outlineLvl w:val="0"/>
        <w:rPr>
          <w:rFonts w:ascii="宋体" w:hAnsi="宋体" w:cs="宋体"/>
          <w:color w:val="auto"/>
          <w:highlight w:val="none"/>
        </w:rPr>
      </w:pPr>
      <w:bookmarkStart w:id="40" w:name="_Toc23102"/>
      <w:bookmarkStart w:id="41" w:name="_Toc13347"/>
      <w:r>
        <w:rPr>
          <w:rFonts w:hint="eastAsia" w:ascii="宋体" w:hAnsi="宋体" w:cs="宋体"/>
          <w:b/>
          <w:bCs/>
          <w:color w:val="auto"/>
          <w:sz w:val="28"/>
          <w:szCs w:val="28"/>
          <w:highlight w:val="none"/>
        </w:rPr>
        <w:t>A、投标须知前附表</w:t>
      </w:r>
      <w:bookmarkEnd w:id="38"/>
      <w:bookmarkEnd w:id="40"/>
      <w:bookmarkEnd w:id="41"/>
    </w:p>
    <w:tbl>
      <w:tblPr>
        <w:tblStyle w:val="45"/>
        <w:tblW w:w="9967" w:type="dxa"/>
        <w:jc w:val="center"/>
        <w:tblLayout w:type="fixed"/>
        <w:tblCellMar>
          <w:top w:w="0" w:type="dxa"/>
          <w:left w:w="0" w:type="dxa"/>
          <w:bottom w:w="0" w:type="dxa"/>
          <w:right w:w="0" w:type="dxa"/>
        </w:tblCellMar>
      </w:tblPr>
      <w:tblGrid>
        <w:gridCol w:w="831"/>
        <w:gridCol w:w="1881"/>
        <w:gridCol w:w="7255"/>
      </w:tblGrid>
      <w:tr w14:paraId="571A27D6">
        <w:tblPrEx>
          <w:tblCellMar>
            <w:top w:w="0" w:type="dxa"/>
            <w:left w:w="0" w:type="dxa"/>
            <w:bottom w:w="0" w:type="dxa"/>
            <w:right w:w="0" w:type="dxa"/>
          </w:tblCellMar>
        </w:tblPrEx>
        <w:trPr>
          <w:trHeight w:val="58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5A2DF55">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编号</w:t>
            </w:r>
          </w:p>
        </w:tc>
        <w:tc>
          <w:tcPr>
            <w:tcW w:w="1881" w:type="dxa"/>
            <w:tcBorders>
              <w:top w:val="single" w:color="auto" w:sz="8" w:space="0"/>
              <w:left w:val="single" w:color="auto" w:sz="4" w:space="0"/>
              <w:bottom w:val="single" w:color="auto" w:sz="8" w:space="0"/>
              <w:right w:val="single" w:color="auto" w:sz="4" w:space="0"/>
            </w:tcBorders>
            <w:vAlign w:val="center"/>
          </w:tcPr>
          <w:p w14:paraId="0AE025D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内容</w:t>
            </w:r>
          </w:p>
        </w:tc>
        <w:tc>
          <w:tcPr>
            <w:tcW w:w="7255" w:type="dxa"/>
            <w:tcBorders>
              <w:top w:val="single" w:color="auto" w:sz="8" w:space="0"/>
              <w:left w:val="single" w:color="auto" w:sz="4" w:space="0"/>
              <w:bottom w:val="single" w:color="auto" w:sz="8" w:space="0"/>
              <w:right w:val="single" w:color="auto" w:sz="8" w:space="0"/>
            </w:tcBorders>
            <w:vAlign w:val="center"/>
          </w:tcPr>
          <w:p w14:paraId="5285D5E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说明与要求</w:t>
            </w:r>
          </w:p>
        </w:tc>
      </w:tr>
      <w:tr w14:paraId="236F2C0B">
        <w:tblPrEx>
          <w:tblCellMar>
            <w:top w:w="0" w:type="dxa"/>
            <w:left w:w="0" w:type="dxa"/>
            <w:bottom w:w="0" w:type="dxa"/>
            <w:right w:w="0" w:type="dxa"/>
          </w:tblCellMar>
        </w:tblPrEx>
        <w:trPr>
          <w:trHeight w:val="9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BB9BC6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881" w:type="dxa"/>
            <w:tcBorders>
              <w:top w:val="single" w:color="auto" w:sz="8" w:space="0"/>
              <w:left w:val="single" w:color="auto" w:sz="4" w:space="0"/>
              <w:bottom w:val="single" w:color="auto" w:sz="8" w:space="0"/>
              <w:right w:val="single" w:color="auto" w:sz="4" w:space="0"/>
            </w:tcBorders>
            <w:vAlign w:val="center"/>
          </w:tcPr>
          <w:p w14:paraId="35B5D18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7255" w:type="dxa"/>
            <w:tcBorders>
              <w:top w:val="single" w:color="auto" w:sz="8" w:space="0"/>
              <w:left w:val="single" w:color="auto" w:sz="4" w:space="0"/>
              <w:bottom w:val="single" w:color="auto" w:sz="8" w:space="0"/>
              <w:right w:val="single" w:color="auto" w:sz="8" w:space="0"/>
            </w:tcBorders>
            <w:vAlign w:val="center"/>
          </w:tcPr>
          <w:p w14:paraId="08E41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工程名称：滁州市建筑垃圾综合处置项目（一期）工程量清单及最高投标限价编制服务项目</w:t>
            </w:r>
          </w:p>
          <w:p w14:paraId="06190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建设地点：</w:t>
            </w:r>
            <w:r>
              <w:rPr>
                <w:rFonts w:hint="eastAsia" w:ascii="宋体" w:hAnsi="宋体" w:eastAsia="宋体" w:cs="宋体"/>
                <w:color w:val="auto"/>
                <w:kern w:val="0"/>
                <w:sz w:val="24"/>
                <w:szCs w:val="24"/>
                <w:highlight w:val="none"/>
                <w:lang w:val="en-US" w:eastAsia="zh-CN"/>
              </w:rPr>
              <w:t>滁州市</w:t>
            </w:r>
            <w:r>
              <w:rPr>
                <w:rFonts w:hint="eastAsia" w:ascii="宋体" w:hAnsi="宋体" w:cs="宋体"/>
                <w:color w:val="auto"/>
                <w:kern w:val="0"/>
                <w:sz w:val="24"/>
                <w:szCs w:val="24"/>
                <w:highlight w:val="none"/>
                <w:lang w:val="en-US" w:eastAsia="zh-CN"/>
              </w:rPr>
              <w:t>内</w:t>
            </w:r>
          </w:p>
          <w:p w14:paraId="306927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建设规模：</w:t>
            </w:r>
            <w:r>
              <w:rPr>
                <w:rFonts w:hint="eastAsia" w:ascii="宋体" w:hAnsi="宋体" w:eastAsia="宋体" w:cs="宋体"/>
                <w:color w:val="auto"/>
                <w:sz w:val="24"/>
                <w:szCs w:val="24"/>
                <w:highlight w:val="none"/>
              </w:rPr>
              <w:t>投资约</w:t>
            </w:r>
            <w:r>
              <w:rPr>
                <w:rFonts w:hint="eastAsia" w:ascii="宋体" w:hAnsi="宋体" w:cs="宋体"/>
                <w:color w:val="auto"/>
                <w:sz w:val="24"/>
                <w:szCs w:val="24"/>
                <w:highlight w:val="none"/>
                <w:lang w:val="en-US" w:eastAsia="zh-CN"/>
              </w:rPr>
              <w:t>8000万元</w:t>
            </w:r>
            <w:r>
              <w:rPr>
                <w:rFonts w:hint="eastAsia" w:ascii="宋体" w:hAnsi="宋体" w:eastAsia="宋体" w:cs="宋体"/>
                <w:color w:val="auto"/>
                <w:sz w:val="24"/>
                <w:szCs w:val="24"/>
                <w:highlight w:val="none"/>
              </w:rPr>
              <w:t>。</w:t>
            </w:r>
          </w:p>
        </w:tc>
      </w:tr>
      <w:tr w14:paraId="2268CE76">
        <w:tblPrEx>
          <w:tblCellMar>
            <w:top w:w="0" w:type="dxa"/>
            <w:left w:w="0" w:type="dxa"/>
            <w:bottom w:w="0" w:type="dxa"/>
            <w:right w:w="0" w:type="dxa"/>
          </w:tblCellMar>
        </w:tblPrEx>
        <w:trPr>
          <w:trHeight w:val="25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F64799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881" w:type="dxa"/>
            <w:tcBorders>
              <w:top w:val="single" w:color="auto" w:sz="8" w:space="0"/>
              <w:left w:val="single" w:color="auto" w:sz="4" w:space="0"/>
              <w:bottom w:val="single" w:color="auto" w:sz="8" w:space="0"/>
              <w:right w:val="single" w:color="auto" w:sz="4" w:space="0"/>
            </w:tcBorders>
            <w:vAlign w:val="center"/>
          </w:tcPr>
          <w:p w14:paraId="250B863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招标范围</w:t>
            </w:r>
          </w:p>
        </w:tc>
        <w:tc>
          <w:tcPr>
            <w:tcW w:w="7255" w:type="dxa"/>
            <w:tcBorders>
              <w:top w:val="single" w:color="auto" w:sz="8" w:space="0"/>
              <w:left w:val="single" w:color="auto" w:sz="4" w:space="0"/>
              <w:bottom w:val="single" w:color="auto" w:sz="8" w:space="0"/>
              <w:right w:val="single" w:color="auto" w:sz="8" w:space="0"/>
            </w:tcBorders>
            <w:vAlign w:val="center"/>
          </w:tcPr>
          <w:p w14:paraId="6FDF3C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依据招标人提供的全套设计施工图纸进行本工程的工程量清单及最高投标限价的编制</w:t>
            </w:r>
            <w:r>
              <w:rPr>
                <w:rFonts w:hint="eastAsia" w:ascii="宋体" w:hAnsi="宋体" w:cs="宋体"/>
                <w:color w:val="auto"/>
                <w:kern w:val="0"/>
                <w:sz w:val="24"/>
                <w:szCs w:val="24"/>
                <w:highlight w:val="none"/>
                <w:lang w:eastAsia="zh-CN"/>
              </w:rPr>
              <w:t>。</w:t>
            </w:r>
          </w:p>
        </w:tc>
      </w:tr>
      <w:tr w14:paraId="66DD1831">
        <w:tblPrEx>
          <w:tblCellMar>
            <w:top w:w="0" w:type="dxa"/>
            <w:left w:w="0" w:type="dxa"/>
            <w:bottom w:w="0" w:type="dxa"/>
            <w:right w:w="0" w:type="dxa"/>
          </w:tblCellMar>
        </w:tblPrEx>
        <w:trPr>
          <w:trHeight w:val="31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ED92ED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881" w:type="dxa"/>
            <w:tcBorders>
              <w:top w:val="single" w:color="auto" w:sz="8" w:space="0"/>
              <w:left w:val="single" w:color="auto" w:sz="4" w:space="0"/>
              <w:bottom w:val="single" w:color="auto" w:sz="8" w:space="0"/>
              <w:right w:val="single" w:color="auto" w:sz="4" w:space="0"/>
            </w:tcBorders>
            <w:vAlign w:val="center"/>
          </w:tcPr>
          <w:p w14:paraId="0E773BE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服务期</w:t>
            </w:r>
            <w:r>
              <w:rPr>
                <w:rFonts w:hint="eastAsia" w:ascii="宋体" w:hAnsi="宋体" w:eastAsia="宋体" w:cs="宋体"/>
                <w:color w:val="auto"/>
                <w:kern w:val="0"/>
                <w:sz w:val="24"/>
                <w:szCs w:val="24"/>
                <w:highlight w:val="none"/>
              </w:rPr>
              <w:t>要求</w:t>
            </w:r>
          </w:p>
        </w:tc>
        <w:tc>
          <w:tcPr>
            <w:tcW w:w="7255" w:type="dxa"/>
            <w:tcBorders>
              <w:top w:val="single" w:color="auto" w:sz="8" w:space="0"/>
              <w:left w:val="single" w:color="auto" w:sz="4" w:space="0"/>
              <w:bottom w:val="single" w:color="auto" w:sz="8" w:space="0"/>
              <w:right w:val="single" w:color="auto" w:sz="8" w:space="0"/>
            </w:tcBorders>
            <w:vAlign w:val="center"/>
          </w:tcPr>
          <w:p w14:paraId="77F4559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接到招标人通知之日起</w:t>
            </w:r>
            <w:r>
              <w:rPr>
                <w:rFonts w:hint="eastAsia" w:ascii="宋体" w:hAnsi="宋体" w:eastAsia="宋体" w:cs="宋体"/>
                <w:color w:val="auto"/>
                <w:sz w:val="24"/>
                <w:szCs w:val="24"/>
                <w:highlight w:val="none"/>
              </w:rPr>
              <w:t>不高于</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个日历天，完成清单、最高投标限价的编制及最高投标限价备案工作，并向项目单位提交造价成果及最高投标限价备案表。投标人自报的承诺工期为考核标准，投标人若不能如期完成，须承担违约责任</w:t>
            </w:r>
          </w:p>
        </w:tc>
      </w:tr>
      <w:tr w14:paraId="2572BE98">
        <w:tblPrEx>
          <w:tblCellMar>
            <w:top w:w="0" w:type="dxa"/>
            <w:left w:w="0" w:type="dxa"/>
            <w:bottom w:w="0" w:type="dxa"/>
            <w:right w:w="0" w:type="dxa"/>
          </w:tblCellMar>
        </w:tblPrEx>
        <w:trPr>
          <w:trHeight w:val="42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C25BC6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81" w:type="dxa"/>
            <w:tcBorders>
              <w:top w:val="single" w:color="auto" w:sz="8" w:space="0"/>
              <w:left w:val="single" w:color="auto" w:sz="4" w:space="0"/>
              <w:bottom w:val="single" w:color="auto" w:sz="8" w:space="0"/>
              <w:right w:val="single" w:color="auto" w:sz="4" w:space="0"/>
            </w:tcBorders>
            <w:vAlign w:val="center"/>
          </w:tcPr>
          <w:p w14:paraId="0C74765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质量标准</w:t>
            </w:r>
          </w:p>
        </w:tc>
        <w:tc>
          <w:tcPr>
            <w:tcW w:w="7255" w:type="dxa"/>
            <w:tcBorders>
              <w:top w:val="single" w:color="auto" w:sz="8" w:space="0"/>
              <w:left w:val="single" w:color="auto" w:sz="4" w:space="0"/>
              <w:bottom w:val="single" w:color="auto" w:sz="8" w:space="0"/>
              <w:right w:val="single" w:color="auto" w:sz="8" w:space="0"/>
            </w:tcBorders>
            <w:vAlign w:val="center"/>
          </w:tcPr>
          <w:p w14:paraId="2E3118C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出具的工程造价咨询成果文件质量应符合现行国家或行业工程计价有关规定、标准、规范的要求</w:t>
            </w:r>
            <w:r>
              <w:rPr>
                <w:rFonts w:hint="eastAsia" w:ascii="宋体" w:hAnsi="宋体" w:eastAsia="宋体" w:cs="宋体"/>
                <w:color w:val="auto"/>
                <w:sz w:val="24"/>
                <w:szCs w:val="24"/>
                <w:highlight w:val="none"/>
                <w:lang w:eastAsia="zh-CN"/>
              </w:rPr>
              <w:t>。</w:t>
            </w:r>
          </w:p>
        </w:tc>
      </w:tr>
      <w:tr w14:paraId="15AECA61">
        <w:tblPrEx>
          <w:tblCellMar>
            <w:top w:w="0" w:type="dxa"/>
            <w:left w:w="0" w:type="dxa"/>
            <w:bottom w:w="0" w:type="dxa"/>
            <w:right w:w="0" w:type="dxa"/>
          </w:tblCellMar>
        </w:tblPrEx>
        <w:trPr>
          <w:trHeight w:val="991"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53E0385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81" w:type="dxa"/>
            <w:tcBorders>
              <w:top w:val="single" w:color="auto" w:sz="8" w:space="0"/>
              <w:left w:val="single" w:color="auto" w:sz="4" w:space="0"/>
              <w:bottom w:val="single" w:color="auto" w:sz="8" w:space="0"/>
              <w:right w:val="single" w:color="auto" w:sz="4" w:space="0"/>
            </w:tcBorders>
            <w:vAlign w:val="center"/>
          </w:tcPr>
          <w:p w14:paraId="076E3F82">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投标人资质</w:t>
            </w:r>
          </w:p>
          <w:p w14:paraId="46AE28BF">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470" w:right="0" w:hanging="1680" w:hangingChars="7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等级要求</w:t>
            </w:r>
          </w:p>
        </w:tc>
        <w:tc>
          <w:tcPr>
            <w:tcW w:w="7255" w:type="dxa"/>
            <w:tcBorders>
              <w:top w:val="single" w:color="auto" w:sz="8" w:space="0"/>
              <w:left w:val="single" w:color="auto" w:sz="4" w:space="0"/>
              <w:bottom w:val="single" w:color="auto" w:sz="8" w:space="0"/>
              <w:right w:val="single" w:color="auto" w:sz="8" w:space="0"/>
            </w:tcBorders>
            <w:vAlign w:val="center"/>
          </w:tcPr>
          <w:p w14:paraId="7FBFBF8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详见招标公告</w:t>
            </w:r>
          </w:p>
        </w:tc>
      </w:tr>
      <w:tr w14:paraId="151A314A">
        <w:tblPrEx>
          <w:tblCellMar>
            <w:top w:w="0" w:type="dxa"/>
            <w:left w:w="0" w:type="dxa"/>
            <w:bottom w:w="0" w:type="dxa"/>
            <w:right w:w="0" w:type="dxa"/>
          </w:tblCellMar>
        </w:tblPrEx>
        <w:trPr>
          <w:trHeight w:val="65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23D07B0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81" w:type="dxa"/>
            <w:tcBorders>
              <w:top w:val="single" w:color="auto" w:sz="8" w:space="0"/>
              <w:left w:val="single" w:color="auto" w:sz="4" w:space="0"/>
              <w:bottom w:val="single" w:color="auto" w:sz="8" w:space="0"/>
              <w:right w:val="single" w:color="auto" w:sz="4" w:space="0"/>
            </w:tcBorders>
            <w:vAlign w:val="center"/>
          </w:tcPr>
          <w:p w14:paraId="6AF82C3C">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勘察现场及投标预备会</w:t>
            </w:r>
          </w:p>
        </w:tc>
        <w:tc>
          <w:tcPr>
            <w:tcW w:w="7255" w:type="dxa"/>
            <w:tcBorders>
              <w:top w:val="single" w:color="auto" w:sz="8" w:space="0"/>
              <w:left w:val="single" w:color="auto" w:sz="4" w:space="0"/>
              <w:bottom w:val="single" w:color="auto" w:sz="8" w:space="0"/>
              <w:right w:val="single" w:color="auto" w:sz="8" w:space="0"/>
            </w:tcBorders>
            <w:vAlign w:val="center"/>
          </w:tcPr>
          <w:p w14:paraId="57C9ABFC">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不再集中召开招标答疑会；投标人自行组织勘察现场。</w:t>
            </w:r>
          </w:p>
        </w:tc>
      </w:tr>
      <w:tr w14:paraId="42CCCA27">
        <w:tblPrEx>
          <w:tblCellMar>
            <w:top w:w="0" w:type="dxa"/>
            <w:left w:w="0" w:type="dxa"/>
            <w:bottom w:w="0" w:type="dxa"/>
            <w:right w:w="0" w:type="dxa"/>
          </w:tblCellMar>
        </w:tblPrEx>
        <w:trPr>
          <w:trHeight w:val="435"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46EB09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81" w:type="dxa"/>
            <w:tcBorders>
              <w:top w:val="single" w:color="auto" w:sz="8" w:space="0"/>
              <w:left w:val="single" w:color="auto" w:sz="4" w:space="0"/>
              <w:bottom w:val="single" w:color="auto" w:sz="8" w:space="0"/>
              <w:right w:val="single" w:color="auto" w:sz="4" w:space="0"/>
            </w:tcBorders>
            <w:vAlign w:val="center"/>
          </w:tcPr>
          <w:p w14:paraId="6862273B">
            <w:pPr>
              <w:pStyle w:val="26"/>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1260" w:right="0" w:hanging="1440" w:hangingChars="60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投标文件份数</w:t>
            </w:r>
          </w:p>
        </w:tc>
        <w:tc>
          <w:tcPr>
            <w:tcW w:w="7255" w:type="dxa"/>
            <w:tcBorders>
              <w:top w:val="single" w:color="auto" w:sz="8" w:space="0"/>
              <w:left w:val="single" w:color="auto" w:sz="4" w:space="0"/>
              <w:bottom w:val="single" w:color="auto" w:sz="8" w:space="0"/>
              <w:right w:val="single" w:color="auto" w:sz="8" w:space="0"/>
            </w:tcBorders>
            <w:vAlign w:val="center"/>
          </w:tcPr>
          <w:p w14:paraId="6A8A6806">
            <w:pPr>
              <w:pStyle w:val="26"/>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网上递交的电子投标文件：一份。以投标人在投标截止时间前网上递交的电子投标文件为准，逾期提交的，投标文件将被拒绝。</w:t>
            </w:r>
          </w:p>
        </w:tc>
      </w:tr>
      <w:tr w14:paraId="3C145A1E">
        <w:tblPrEx>
          <w:tblCellMar>
            <w:top w:w="0" w:type="dxa"/>
            <w:left w:w="0" w:type="dxa"/>
            <w:bottom w:w="0" w:type="dxa"/>
            <w:right w:w="0" w:type="dxa"/>
          </w:tblCellMar>
        </w:tblPrEx>
        <w:trPr>
          <w:trHeight w:val="6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7199310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881" w:type="dxa"/>
            <w:tcBorders>
              <w:top w:val="single" w:color="auto" w:sz="8" w:space="0"/>
              <w:left w:val="single" w:color="auto" w:sz="4" w:space="0"/>
              <w:bottom w:val="single" w:color="auto" w:sz="8" w:space="0"/>
              <w:right w:val="single" w:color="auto" w:sz="4" w:space="0"/>
            </w:tcBorders>
            <w:vAlign w:val="center"/>
          </w:tcPr>
          <w:p w14:paraId="6F227D6A">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7255" w:type="dxa"/>
            <w:tcBorders>
              <w:top w:val="single" w:color="auto" w:sz="8" w:space="0"/>
              <w:left w:val="single" w:color="auto" w:sz="4" w:space="0"/>
              <w:bottom w:val="single" w:color="auto" w:sz="8" w:space="0"/>
              <w:right w:val="single" w:color="auto" w:sz="8" w:space="0"/>
            </w:tcBorders>
            <w:vAlign w:val="center"/>
          </w:tcPr>
          <w:p w14:paraId="58829BBD">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en-US" w:eastAsia="zh-CN"/>
              </w:rPr>
              <w:t>不要求</w:t>
            </w:r>
          </w:p>
        </w:tc>
      </w:tr>
      <w:tr w14:paraId="2125CDDF">
        <w:tblPrEx>
          <w:tblCellMar>
            <w:top w:w="0" w:type="dxa"/>
            <w:left w:w="0" w:type="dxa"/>
            <w:bottom w:w="0" w:type="dxa"/>
            <w:right w:w="0" w:type="dxa"/>
          </w:tblCellMar>
        </w:tblPrEx>
        <w:trPr>
          <w:trHeight w:val="637"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BC4CA40">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881" w:type="dxa"/>
            <w:tcBorders>
              <w:top w:val="single" w:color="auto" w:sz="8" w:space="0"/>
              <w:left w:val="single" w:color="auto" w:sz="4" w:space="0"/>
              <w:bottom w:val="single" w:color="auto" w:sz="8" w:space="0"/>
              <w:right w:val="single" w:color="auto" w:sz="4" w:space="0"/>
            </w:tcBorders>
            <w:vAlign w:val="center"/>
          </w:tcPr>
          <w:p w14:paraId="2F189ED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7255" w:type="dxa"/>
            <w:tcBorders>
              <w:top w:val="single" w:color="auto" w:sz="8" w:space="0"/>
              <w:left w:val="single" w:color="auto" w:sz="4" w:space="0"/>
              <w:bottom w:val="single" w:color="auto" w:sz="8" w:space="0"/>
              <w:right w:val="single" w:color="auto" w:sz="8" w:space="0"/>
            </w:tcBorders>
            <w:vAlign w:val="center"/>
          </w:tcPr>
          <w:p w14:paraId="06EF3AF5">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本项目不设置履约保证金。</w:t>
            </w:r>
          </w:p>
        </w:tc>
      </w:tr>
      <w:tr w14:paraId="619845AF">
        <w:tblPrEx>
          <w:tblCellMar>
            <w:top w:w="0" w:type="dxa"/>
            <w:left w:w="0" w:type="dxa"/>
            <w:bottom w:w="0" w:type="dxa"/>
            <w:right w:w="0" w:type="dxa"/>
          </w:tblCellMar>
        </w:tblPrEx>
        <w:trPr>
          <w:trHeight w:val="462"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6707F87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881" w:type="dxa"/>
            <w:tcBorders>
              <w:top w:val="single" w:color="auto" w:sz="8" w:space="0"/>
              <w:left w:val="single" w:color="auto" w:sz="4" w:space="0"/>
              <w:bottom w:val="single" w:color="auto" w:sz="8" w:space="0"/>
              <w:right w:val="single" w:color="auto" w:sz="4" w:space="0"/>
            </w:tcBorders>
            <w:vAlign w:val="center"/>
          </w:tcPr>
          <w:p w14:paraId="4C0C9620">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255" w:type="dxa"/>
            <w:tcBorders>
              <w:top w:val="single" w:color="auto" w:sz="8" w:space="0"/>
              <w:left w:val="single" w:color="auto" w:sz="4" w:space="0"/>
              <w:bottom w:val="single" w:color="auto" w:sz="8" w:space="0"/>
              <w:right w:val="single" w:color="auto" w:sz="8" w:space="0"/>
            </w:tcBorders>
            <w:vAlign w:val="center"/>
          </w:tcPr>
          <w:p w14:paraId="5298829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rPr>
              <w:t>本项目的最高限价为：按《安徽省建设工程造价咨询服务项目及收费标准》（皖价服〔2007〕86号）计算的费用×</w:t>
            </w:r>
            <w:r>
              <w:rPr>
                <w:rFonts w:hint="eastAsia" w:ascii="宋体" w:hAnsi="宋体" w:cs="宋体"/>
                <w:color w:val="auto"/>
                <w:sz w:val="24"/>
                <w:szCs w:val="24"/>
                <w:highlight w:val="none"/>
                <w:u w:val="single"/>
                <w:lang w:val="en-US" w:eastAsia="zh-CN"/>
              </w:rPr>
              <w:t xml:space="preserve"> 55 </w:t>
            </w:r>
            <w:r>
              <w:rPr>
                <w:rFonts w:hint="default" w:ascii="宋体" w:hAnsi="宋体" w:eastAsia="宋体" w:cs="宋体"/>
                <w:color w:val="auto"/>
                <w:sz w:val="24"/>
                <w:szCs w:val="24"/>
                <w:highlight w:val="none"/>
                <w:lang w:val="en-US"/>
              </w:rPr>
              <w:t>%，投标单位投标报价不得高于上述最高限价，否则按无效标处理。</w:t>
            </w:r>
            <w:r>
              <w:rPr>
                <w:rFonts w:hint="eastAsia" w:ascii="宋体" w:hAnsi="宋体" w:cs="宋体"/>
                <w:color w:val="auto"/>
                <w:sz w:val="24"/>
                <w:szCs w:val="24"/>
                <w:highlight w:val="none"/>
                <w:lang w:val="en-US" w:eastAsia="zh-CN"/>
              </w:rPr>
              <w:t>（投标报价保留两位小数，第三位四舍五入）</w:t>
            </w:r>
          </w:p>
          <w:p w14:paraId="390870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注：</w:t>
            </w:r>
          </w:p>
          <w:p w14:paraId="3295565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rPr>
              <w:t>1、无论任何原因（包含但不限于设计图纸变更等）导致的项目期限延长，委托人均不再增加编制费用</w:t>
            </w:r>
            <w:r>
              <w:rPr>
                <w:rFonts w:hint="eastAsia" w:ascii="宋体" w:hAnsi="宋体" w:cs="宋体"/>
                <w:color w:val="auto"/>
                <w:sz w:val="24"/>
                <w:szCs w:val="24"/>
                <w:highlight w:val="none"/>
                <w:lang w:val="en-US" w:eastAsia="zh-CN"/>
              </w:rPr>
              <w:t>。</w:t>
            </w:r>
          </w:p>
          <w:p w14:paraId="1B65AE7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2、投标人须认真研究项目的招标文件，并仔细踏勘现场，若对本项目有异议，应在投标答疑时向招标人提出。</w:t>
            </w:r>
          </w:p>
        </w:tc>
      </w:tr>
      <w:tr w14:paraId="77D9C95C">
        <w:tblPrEx>
          <w:tblCellMar>
            <w:top w:w="0" w:type="dxa"/>
            <w:left w:w="0" w:type="dxa"/>
            <w:bottom w:w="0" w:type="dxa"/>
            <w:right w:w="0" w:type="dxa"/>
          </w:tblCellMar>
        </w:tblPrEx>
        <w:trPr>
          <w:trHeight w:val="559"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0B734C8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881" w:type="dxa"/>
            <w:tcBorders>
              <w:top w:val="single" w:color="auto" w:sz="8" w:space="0"/>
              <w:left w:val="single" w:color="auto" w:sz="4" w:space="0"/>
              <w:bottom w:val="single" w:color="auto" w:sz="8" w:space="0"/>
              <w:right w:val="single" w:color="auto" w:sz="4" w:space="0"/>
            </w:tcBorders>
            <w:vAlign w:val="center"/>
          </w:tcPr>
          <w:p w14:paraId="6FD94C2C">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投标文件提交截止时间</w:t>
            </w:r>
          </w:p>
        </w:tc>
        <w:tc>
          <w:tcPr>
            <w:tcW w:w="7255" w:type="dxa"/>
            <w:tcBorders>
              <w:top w:val="single" w:color="auto" w:sz="8" w:space="0"/>
              <w:left w:val="single" w:color="auto" w:sz="4" w:space="0"/>
              <w:bottom w:val="single" w:color="auto" w:sz="8" w:space="0"/>
              <w:right w:val="single" w:color="auto" w:sz="8" w:space="0"/>
            </w:tcBorders>
            <w:vAlign w:val="center"/>
          </w:tcPr>
          <w:p w14:paraId="666A270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1、投标人须在投标文件截止时间前（2024年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日8时30分前）将投标文件以电子邮件的方式一次性发送至czsctgczx@163.com（滁州市城投工程咨询管理有限公司邮箱），投标文件格式限定为加密PDF格式，将文件命名为\“投标单位名称+项目名称\”，未在规定时间内发送的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时00分前）将投标文件以电子邮件的方式一次性发送至czsctgczx@163.com（滁州市城投工程咨询管理有限公司邮箱），投标文件格式限定为加密PDF格式，将文件命名为“投标单位名称+项目名称</w:t>
            </w: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lang w:val="en-US"/>
              </w:rPr>
              <w:t>”，未在规定时间内发送加密PDF格式投标文件，投标将被拒绝，投标文件送达时间以滁州市城投工程咨询管理有限公司邮箱显示的邮件送达时间为准，若投标人重复发送电子投标文件的，将以2024年</w:t>
            </w:r>
            <w:r>
              <w:rPr>
                <w:rFonts w:hint="eastAsia" w:ascii="宋体" w:hAnsi="宋体" w:eastAsia="宋体" w:cs="宋体"/>
                <w:color w:val="auto"/>
                <w:sz w:val="24"/>
                <w:szCs w:val="24"/>
                <w:highlight w:val="none"/>
                <w:lang w:val="en-US"/>
              </w:rPr>
              <w:fldChar w:fldCharType="end"/>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时00分前最后收到的投标文件为准,投标文件无法打开的，由投标人自行承担后果。</w:t>
            </w:r>
          </w:p>
          <w:p w14:paraId="47AD4AFD">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fldChar w:fldCharType="begin"/>
            </w:r>
            <w:r>
              <w:rPr>
                <w:rFonts w:hint="eastAsia" w:ascii="宋体" w:hAnsi="宋体" w:eastAsia="宋体" w:cs="宋体"/>
                <w:color w:val="auto"/>
                <w:sz w:val="24"/>
                <w:szCs w:val="24"/>
                <w:highlight w:val="none"/>
                <w:lang w:val="en-US"/>
              </w:rPr>
              <w:instrText xml:space="preserve"> HYPERLINK "mailto:3、投标人在2021年11月23日8时30分至2021年11月23日9时内将投标文件的密码（投标单位名称+密码）发送至czsctgczx@163.com（滁州市城投工程咨询管理有限公司邮箱）。不在规定时间内发送密码的，投标将被拒绝。" </w:instrText>
            </w:r>
            <w:r>
              <w:rPr>
                <w:rFonts w:hint="eastAsia" w:ascii="宋体" w:hAnsi="宋体" w:eastAsia="宋体" w:cs="宋体"/>
                <w:color w:val="auto"/>
                <w:sz w:val="24"/>
                <w:szCs w:val="24"/>
                <w:highlight w:val="none"/>
                <w:lang w:val="en-US"/>
              </w:rPr>
              <w:fldChar w:fldCharType="separate"/>
            </w:r>
            <w:r>
              <w:rPr>
                <w:rFonts w:hint="eastAsia" w:ascii="宋体" w:hAnsi="宋体" w:eastAsia="宋体" w:cs="宋体"/>
                <w:color w:val="auto"/>
                <w:sz w:val="24"/>
                <w:szCs w:val="24"/>
                <w:highlight w:val="none"/>
                <w:lang w:val="en-US"/>
              </w:rPr>
              <w:t>2、投标人在2024年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时00分至2024年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rPr>
              <w:t>时30分将投标文件的密码（投标单位名称+密码）发送至czsctgczx@163.com（滁州市城投工程咨询管理有限公司邮箱）。未在规定时间内发送密码的，投标将被拒绝。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 w:val="24"/>
                <w:szCs w:val="24"/>
                <w:highlight w:val="none"/>
                <w:lang w:val="en-US"/>
              </w:rPr>
              <w:fldChar w:fldCharType="end"/>
            </w:r>
          </w:p>
        </w:tc>
      </w:tr>
      <w:tr w14:paraId="3AEE1663">
        <w:tblPrEx>
          <w:tblCellMar>
            <w:top w:w="0" w:type="dxa"/>
            <w:left w:w="0" w:type="dxa"/>
            <w:bottom w:w="0" w:type="dxa"/>
            <w:right w:w="0" w:type="dxa"/>
          </w:tblCellMar>
        </w:tblPrEx>
        <w:trPr>
          <w:trHeight w:val="910"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1392DC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881" w:type="dxa"/>
            <w:tcBorders>
              <w:top w:val="single" w:color="auto" w:sz="8" w:space="0"/>
              <w:left w:val="single" w:color="auto" w:sz="4" w:space="0"/>
              <w:bottom w:val="single" w:color="auto" w:sz="8" w:space="0"/>
              <w:right w:val="single" w:color="auto" w:sz="4" w:space="0"/>
            </w:tcBorders>
            <w:vAlign w:val="center"/>
          </w:tcPr>
          <w:p w14:paraId="0261F438">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w:t>
            </w:r>
          </w:p>
        </w:tc>
        <w:tc>
          <w:tcPr>
            <w:tcW w:w="7255" w:type="dxa"/>
            <w:tcBorders>
              <w:top w:val="single" w:color="auto" w:sz="8" w:space="0"/>
              <w:left w:val="single" w:color="auto" w:sz="4" w:space="0"/>
              <w:bottom w:val="single" w:color="auto" w:sz="8" w:space="0"/>
              <w:right w:val="single" w:color="auto" w:sz="8" w:space="0"/>
            </w:tcBorders>
            <w:vAlign w:val="center"/>
          </w:tcPr>
          <w:p w14:paraId="10368E3D">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开标时间：2024年</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eastAsia="zh-CN"/>
              </w:rPr>
              <w:t>点00分（北京时间）</w:t>
            </w:r>
          </w:p>
          <w:p w14:paraId="38698D3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开标地点：滁州市龙蟠大道109号房产商务大厦6楼</w:t>
            </w:r>
            <w:r>
              <w:rPr>
                <w:rFonts w:hint="eastAsia" w:ascii="宋体" w:hAnsi="宋体" w:cs="宋体"/>
                <w:color w:val="auto"/>
                <w:sz w:val="24"/>
                <w:szCs w:val="24"/>
                <w:highlight w:val="none"/>
                <w:u w:val="single"/>
                <w:lang w:val="en-US" w:eastAsia="zh-CN"/>
              </w:rPr>
              <w:t>622</w:t>
            </w:r>
            <w:r>
              <w:rPr>
                <w:rFonts w:hint="eastAsia" w:ascii="宋体" w:hAnsi="宋体" w:eastAsia="宋体" w:cs="宋体"/>
                <w:color w:val="auto"/>
                <w:sz w:val="24"/>
                <w:szCs w:val="24"/>
                <w:highlight w:val="none"/>
                <w:u w:val="single"/>
                <w:lang w:eastAsia="zh-CN"/>
              </w:rPr>
              <w:t>会议室</w:t>
            </w:r>
          </w:p>
        </w:tc>
      </w:tr>
      <w:tr w14:paraId="6E678711">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6105F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881" w:type="dxa"/>
            <w:tcBorders>
              <w:top w:val="single" w:color="auto" w:sz="8" w:space="0"/>
              <w:left w:val="single" w:color="auto" w:sz="4" w:space="0"/>
              <w:bottom w:val="single" w:color="auto" w:sz="8" w:space="0"/>
              <w:right w:val="single" w:color="auto" w:sz="4" w:space="0"/>
            </w:tcBorders>
            <w:vAlign w:val="center"/>
          </w:tcPr>
          <w:p w14:paraId="0C556FC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招标代理费</w:t>
            </w:r>
          </w:p>
        </w:tc>
        <w:tc>
          <w:tcPr>
            <w:tcW w:w="7255" w:type="dxa"/>
            <w:tcBorders>
              <w:top w:val="single" w:color="auto" w:sz="8" w:space="0"/>
              <w:left w:val="single" w:color="auto" w:sz="4" w:space="0"/>
              <w:bottom w:val="single" w:color="auto" w:sz="8" w:space="0"/>
              <w:right w:val="single" w:color="auto" w:sz="8" w:space="0"/>
            </w:tcBorders>
            <w:vAlign w:val="center"/>
          </w:tcPr>
          <w:p w14:paraId="249A42B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本项目的招标代理服务费</w:t>
            </w:r>
            <w:r>
              <w:rPr>
                <w:rFonts w:hint="eastAsia" w:ascii="宋体" w:hAnsi="宋体" w:cs="宋体"/>
                <w:color w:val="auto"/>
                <w:kern w:val="0"/>
                <w:sz w:val="24"/>
                <w:szCs w:val="24"/>
                <w:highlight w:val="none"/>
                <w:u w:val="single"/>
                <w:lang w:val="en-US" w:eastAsia="zh-CN"/>
              </w:rPr>
              <w:t xml:space="preserve"> 2000 </w:t>
            </w:r>
            <w:r>
              <w:rPr>
                <w:rFonts w:hint="eastAsia" w:ascii="宋体" w:hAnsi="宋体" w:eastAsia="宋体" w:cs="宋体"/>
                <w:color w:val="auto"/>
                <w:kern w:val="0"/>
                <w:sz w:val="24"/>
                <w:szCs w:val="24"/>
                <w:highlight w:val="none"/>
              </w:rPr>
              <w:t>元和专家评委费（专家评委费以实际发生为准），由中标人在领取中标通知书时，一次性支付给代理公司。</w:t>
            </w:r>
          </w:p>
        </w:tc>
      </w:tr>
      <w:tr w14:paraId="35C0BB47">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3C170BBB">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881" w:type="dxa"/>
            <w:tcBorders>
              <w:top w:val="single" w:color="auto" w:sz="8" w:space="0"/>
              <w:left w:val="single" w:color="auto" w:sz="4" w:space="0"/>
              <w:bottom w:val="single" w:color="auto" w:sz="8" w:space="0"/>
              <w:right w:val="single" w:color="auto" w:sz="4" w:space="0"/>
            </w:tcBorders>
            <w:vAlign w:val="center"/>
          </w:tcPr>
          <w:p w14:paraId="10CB10E6">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付款方式、时间、条件</w:t>
            </w:r>
          </w:p>
        </w:tc>
        <w:tc>
          <w:tcPr>
            <w:tcW w:w="7255" w:type="dxa"/>
            <w:tcBorders>
              <w:top w:val="single" w:color="auto" w:sz="8" w:space="0"/>
              <w:left w:val="single" w:color="auto" w:sz="4" w:space="0"/>
              <w:bottom w:val="single" w:color="auto" w:sz="8" w:space="0"/>
              <w:right w:val="single" w:color="auto" w:sz="8" w:space="0"/>
            </w:tcBorders>
            <w:vAlign w:val="center"/>
          </w:tcPr>
          <w:p w14:paraId="1918CD53">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正式成果文件审核备案完成后且施工招标结束后30日内一次性付清。</w:t>
            </w:r>
          </w:p>
        </w:tc>
      </w:tr>
      <w:tr w14:paraId="7A3218C5">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20CF8EA7">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p>
        </w:tc>
        <w:tc>
          <w:tcPr>
            <w:tcW w:w="1881" w:type="dxa"/>
            <w:tcBorders>
              <w:top w:val="single" w:color="auto" w:sz="8" w:space="0"/>
              <w:left w:val="single" w:color="auto" w:sz="4" w:space="0"/>
              <w:bottom w:val="single" w:color="auto" w:sz="8" w:space="0"/>
              <w:right w:val="single" w:color="auto" w:sz="4" w:space="0"/>
            </w:tcBorders>
            <w:vAlign w:val="center"/>
          </w:tcPr>
          <w:p w14:paraId="45A46411">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招标文件获取方式和时间</w:t>
            </w:r>
          </w:p>
        </w:tc>
        <w:tc>
          <w:tcPr>
            <w:tcW w:w="7255" w:type="dxa"/>
            <w:tcBorders>
              <w:top w:val="single" w:color="auto" w:sz="8" w:space="0"/>
              <w:left w:val="single" w:color="auto" w:sz="4" w:space="0"/>
              <w:bottom w:val="single" w:color="auto" w:sz="8" w:space="0"/>
              <w:right w:val="single" w:color="auto" w:sz="8" w:space="0"/>
            </w:tcBorders>
          </w:tcPr>
          <w:p w14:paraId="0773D5BD">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招标文件获取方式：网上下载；</w:t>
            </w:r>
          </w:p>
          <w:p w14:paraId="61FC90E7">
            <w:pPr>
              <w:keepNext w:val="0"/>
              <w:keepLines w:val="0"/>
              <w:pageBreakBefore w:val="0"/>
              <w:suppressLineNumbers w:val="0"/>
              <w:kinsoku/>
              <w:wordWrap/>
              <w:overflowPunct/>
              <w:topLinePunct/>
              <w:autoSpaceDE/>
              <w:autoSpaceDN/>
              <w:bidi w:val="0"/>
              <w:adjustRightInd/>
              <w:snapToGrid/>
              <w:spacing w:before="0" w:beforeAutospacing="0" w:after="0" w:afterAutospacing="0" w:line="440" w:lineRule="exact"/>
              <w:ind w:left="63" w:leftChars="30" w:right="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获取时间：招标文件发布至投标截止时间。</w:t>
            </w:r>
          </w:p>
        </w:tc>
      </w:tr>
      <w:tr w14:paraId="0B8C6DB5">
        <w:tblPrEx>
          <w:tblCellMar>
            <w:top w:w="0" w:type="dxa"/>
            <w:left w:w="0" w:type="dxa"/>
            <w:bottom w:w="0" w:type="dxa"/>
            <w:right w:w="0" w:type="dxa"/>
          </w:tblCellMar>
        </w:tblPrEx>
        <w:trPr>
          <w:trHeight w:val="786" w:hRule="atLeast"/>
          <w:jc w:val="center"/>
        </w:trPr>
        <w:tc>
          <w:tcPr>
            <w:tcW w:w="831" w:type="dxa"/>
            <w:tcBorders>
              <w:top w:val="single" w:color="auto" w:sz="8" w:space="0"/>
              <w:left w:val="single" w:color="auto" w:sz="8" w:space="0"/>
              <w:bottom w:val="single" w:color="auto" w:sz="8" w:space="0"/>
              <w:right w:val="single" w:color="auto" w:sz="8" w:space="0"/>
            </w:tcBorders>
            <w:vAlign w:val="center"/>
          </w:tcPr>
          <w:p w14:paraId="11ED2749">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6</w:t>
            </w:r>
          </w:p>
        </w:tc>
        <w:tc>
          <w:tcPr>
            <w:tcW w:w="1881" w:type="dxa"/>
            <w:tcBorders>
              <w:top w:val="single" w:color="auto" w:sz="8" w:space="0"/>
              <w:left w:val="single" w:color="auto" w:sz="4" w:space="0"/>
              <w:bottom w:val="single" w:color="auto" w:sz="8" w:space="0"/>
              <w:right w:val="single" w:color="auto" w:sz="4" w:space="0"/>
            </w:tcBorders>
            <w:vAlign w:val="center"/>
          </w:tcPr>
          <w:p w14:paraId="27B633B6">
            <w:pPr>
              <w:keepNext w:val="0"/>
              <w:keepLines w:val="0"/>
              <w:pageBreakBefore w:val="0"/>
              <w:widowControl/>
              <w:suppressLineNumbers w:val="0"/>
              <w:kinsoku/>
              <w:wordWrap/>
              <w:overflowPunct/>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特别提示</w:t>
            </w:r>
          </w:p>
        </w:tc>
        <w:tc>
          <w:tcPr>
            <w:tcW w:w="7255" w:type="dxa"/>
            <w:tcBorders>
              <w:top w:val="single" w:color="auto" w:sz="8" w:space="0"/>
              <w:left w:val="single" w:color="auto" w:sz="4" w:space="0"/>
              <w:bottom w:val="single" w:color="auto" w:sz="8" w:space="0"/>
              <w:right w:val="single" w:color="auto" w:sz="8" w:space="0"/>
            </w:tcBorders>
          </w:tcPr>
          <w:p w14:paraId="4107F1BE">
            <w:pPr>
              <w:keepNext w:val="0"/>
              <w:keepLines w:val="0"/>
              <w:pageBreakBefore w:val="0"/>
              <w:suppressLineNumbers w:val="0"/>
              <w:kinsoku/>
              <w:wordWrap/>
              <w:overflowPunct/>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投标人单方面出现其他投标人材料的，由评标委员会否决其投标。</w:t>
            </w:r>
          </w:p>
        </w:tc>
      </w:tr>
    </w:tbl>
    <w:p w14:paraId="1DB79284">
      <w:pPr>
        <w:spacing w:line="420" w:lineRule="exact"/>
        <w:rPr>
          <w:rFonts w:ascii="仿宋" w:hAnsi="仿宋" w:eastAsia="仿宋" w:cs="仿宋"/>
          <w:color w:val="auto"/>
          <w:sz w:val="32"/>
          <w:szCs w:val="32"/>
          <w:highlight w:val="none"/>
        </w:rPr>
      </w:pPr>
    </w:p>
    <w:p w14:paraId="4D044E6E">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A3F8E69">
      <w:pPr>
        <w:spacing w:before="95" w:beforeLines="30" w:after="95" w:afterLines="30" w:line="440" w:lineRule="exact"/>
        <w:jc w:val="center"/>
        <w:outlineLvl w:val="1"/>
        <w:rPr>
          <w:rFonts w:ascii="宋体" w:hAnsi="宋体" w:cs="宋体"/>
          <w:b/>
          <w:bCs/>
          <w:color w:val="auto"/>
          <w:sz w:val="24"/>
          <w:szCs w:val="24"/>
          <w:highlight w:val="none"/>
        </w:rPr>
      </w:pPr>
      <w:bookmarkStart w:id="42" w:name="_Toc515"/>
      <w:r>
        <w:rPr>
          <w:rFonts w:hint="eastAsia" w:ascii="宋体" w:hAnsi="宋体" w:cs="宋体"/>
          <w:b/>
          <w:bCs/>
          <w:color w:val="auto"/>
          <w:sz w:val="24"/>
          <w:szCs w:val="24"/>
          <w:highlight w:val="none"/>
        </w:rPr>
        <w:t>一、总  则</w:t>
      </w:r>
      <w:bookmarkEnd w:id="42"/>
    </w:p>
    <w:p w14:paraId="75BF629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1.工程概况</w:t>
      </w:r>
    </w:p>
    <w:p w14:paraId="3A32D9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1.1本次招标工程名称：滁州市建筑垃圾综合处置项目（一期）工程量清单及最高投标限价编制服务项目</w:t>
      </w:r>
    </w:p>
    <w:p w14:paraId="5F15D2F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工程地址：</w:t>
      </w:r>
      <w:r>
        <w:rPr>
          <w:rFonts w:hint="eastAsia" w:ascii="宋体" w:hAnsi="宋体" w:cs="宋体"/>
          <w:color w:val="auto"/>
          <w:sz w:val="24"/>
          <w:szCs w:val="24"/>
          <w:highlight w:val="none"/>
          <w:lang w:val="en-US" w:eastAsia="zh-CN"/>
        </w:rPr>
        <w:t>滁州市内</w:t>
      </w:r>
    </w:p>
    <w:p w14:paraId="48371D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建设单位：滁州市皖能兴滁环境科技有限公司 </w:t>
      </w:r>
    </w:p>
    <w:p w14:paraId="0BAFD6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1.2本工程建设规模：总投资约</w:t>
      </w:r>
      <w:r>
        <w:rPr>
          <w:rFonts w:hint="eastAsia" w:ascii="宋体" w:hAnsi="宋体" w:cs="宋体"/>
          <w:color w:val="auto"/>
          <w:sz w:val="24"/>
          <w:szCs w:val="24"/>
          <w:highlight w:val="none"/>
          <w:lang w:val="en-US" w:eastAsia="zh-CN"/>
        </w:rPr>
        <w:t>8000万元，服务费用约15.84万元</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 xml:space="preserve"> </w:t>
      </w:r>
    </w:p>
    <w:p w14:paraId="46A8627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2. 招标范围</w:t>
      </w:r>
    </w:p>
    <w:p w14:paraId="62F5F8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42D29C0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3.承包方式</w:t>
      </w:r>
    </w:p>
    <w:p w14:paraId="620D59C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3.1承包方式：</w:t>
      </w:r>
      <w:r>
        <w:rPr>
          <w:rFonts w:hint="eastAsia" w:ascii="宋体" w:hAnsi="宋体" w:cs="宋体"/>
          <w:color w:val="auto"/>
          <w:sz w:val="24"/>
          <w:szCs w:val="24"/>
          <w:highlight w:val="none"/>
          <w:u w:val="single"/>
        </w:rPr>
        <w:t xml:space="preserve">总承包 </w:t>
      </w:r>
      <w:r>
        <w:rPr>
          <w:rFonts w:hint="eastAsia" w:ascii="宋体" w:hAnsi="宋体" w:cs="宋体"/>
          <w:color w:val="auto"/>
          <w:sz w:val="24"/>
          <w:szCs w:val="24"/>
          <w:highlight w:val="none"/>
        </w:rPr>
        <w:t>。</w:t>
      </w:r>
    </w:p>
    <w:p w14:paraId="1E0DC2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4.工期要求</w:t>
      </w:r>
    </w:p>
    <w:p w14:paraId="5ECC90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74300E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5.质量要求</w:t>
      </w:r>
    </w:p>
    <w:p w14:paraId="444C7B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45464C8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6.投标人资质等级要求</w:t>
      </w:r>
    </w:p>
    <w:p w14:paraId="142626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color w:val="auto"/>
          <w:sz w:val="24"/>
          <w:szCs w:val="24"/>
          <w:highlight w:val="none"/>
        </w:rPr>
      </w:pPr>
      <w:r>
        <w:rPr>
          <w:rFonts w:hint="eastAsia" w:ascii="宋体"/>
          <w:color w:val="auto"/>
          <w:sz w:val="24"/>
          <w:szCs w:val="24"/>
          <w:highlight w:val="none"/>
        </w:rPr>
        <w:t>见投标人须知前附表</w:t>
      </w:r>
    </w:p>
    <w:p w14:paraId="789550A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7.资金来源</w:t>
      </w:r>
    </w:p>
    <w:p w14:paraId="31F2C8D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7.1资金来源：</w:t>
      </w:r>
      <w:r>
        <w:rPr>
          <w:rFonts w:hint="eastAsia" w:ascii="宋体" w:hAnsi="宋体" w:cs="宋体"/>
          <w:color w:val="auto"/>
          <w:sz w:val="24"/>
          <w:szCs w:val="24"/>
          <w:highlight w:val="none"/>
          <w:u w:val="single"/>
        </w:rPr>
        <w:t xml:space="preserve"> 自筹资金 </w:t>
      </w:r>
      <w:r>
        <w:rPr>
          <w:rFonts w:hint="eastAsia" w:ascii="宋体" w:hAnsi="宋体" w:cs="宋体"/>
          <w:color w:val="auto"/>
          <w:sz w:val="24"/>
          <w:szCs w:val="24"/>
          <w:highlight w:val="none"/>
        </w:rPr>
        <w:t>；资金已落实。</w:t>
      </w:r>
    </w:p>
    <w:p w14:paraId="4AE1EA3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8.标段划分</w:t>
      </w:r>
    </w:p>
    <w:p w14:paraId="5F326A92">
      <w:pPr>
        <w:keepNext w:val="0"/>
        <w:keepLines w:val="0"/>
        <w:pageBreakBefore w:val="0"/>
        <w:widowControl w:val="0"/>
        <w:kinsoku/>
        <w:wordWrap/>
        <w:overflowPunct/>
        <w:topLinePunct w:val="0"/>
        <w:autoSpaceDE/>
        <w:autoSpaceDN/>
        <w:bidi w:val="0"/>
        <w:adjustRightInd/>
        <w:snapToGrid/>
        <w:spacing w:line="440" w:lineRule="exact"/>
        <w:ind w:right="-155" w:rightChars="-74"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8.1该工程划分：</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 xml:space="preserve">个标段  </w:t>
      </w:r>
    </w:p>
    <w:p w14:paraId="0BE69BE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9.招标方式</w:t>
      </w:r>
    </w:p>
    <w:p w14:paraId="1A8C1D4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9.1本工程招标方式：</w:t>
      </w:r>
      <w:r>
        <w:rPr>
          <w:rFonts w:hint="eastAsia" w:ascii="宋体" w:hAnsi="宋体" w:cs="宋体"/>
          <w:color w:val="auto"/>
          <w:sz w:val="24"/>
          <w:szCs w:val="24"/>
          <w:highlight w:val="none"/>
          <w:u w:val="single"/>
        </w:rPr>
        <w:t xml:space="preserve"> 自行招标 </w:t>
      </w:r>
      <w:r>
        <w:rPr>
          <w:rFonts w:hint="eastAsia" w:ascii="宋体" w:hAnsi="宋体" w:cs="宋体"/>
          <w:color w:val="auto"/>
          <w:sz w:val="24"/>
          <w:szCs w:val="24"/>
          <w:highlight w:val="none"/>
        </w:rPr>
        <w:t>。</w:t>
      </w:r>
    </w:p>
    <w:p w14:paraId="3818EF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10.计价方式</w:t>
      </w:r>
    </w:p>
    <w:p w14:paraId="5D880CB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10.1本工程合同计价方式：</w:t>
      </w:r>
      <w:r>
        <w:rPr>
          <w:rFonts w:hint="eastAsia" w:ascii="宋体" w:hAnsi="宋体" w:cs="宋体"/>
          <w:color w:val="auto"/>
          <w:sz w:val="24"/>
          <w:szCs w:val="24"/>
          <w:highlight w:val="none"/>
          <w:u w:val="single"/>
        </w:rPr>
        <w:t xml:space="preserve">  固定</w:t>
      </w:r>
      <w:r>
        <w:rPr>
          <w:rFonts w:hint="eastAsia" w:ascii="宋体" w:hAnsi="宋体" w:cs="宋体"/>
          <w:color w:val="auto"/>
          <w:sz w:val="24"/>
          <w:szCs w:val="24"/>
          <w:highlight w:val="none"/>
          <w:u w:val="single"/>
          <w:lang w:val="en-US" w:eastAsia="zh-CN"/>
        </w:rPr>
        <w:t>费率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1040B1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2"/>
        <w:rPr>
          <w:rFonts w:ascii="宋体" w:hAnsi="宋体" w:cs="宋体"/>
          <w:color w:val="auto"/>
          <w:sz w:val="24"/>
          <w:szCs w:val="24"/>
          <w:highlight w:val="none"/>
        </w:rPr>
      </w:pPr>
      <w:r>
        <w:rPr>
          <w:rFonts w:hint="eastAsia" w:ascii="宋体" w:hAnsi="宋体" w:cs="宋体"/>
          <w:color w:val="auto"/>
          <w:sz w:val="24"/>
          <w:szCs w:val="24"/>
          <w:highlight w:val="none"/>
        </w:rPr>
        <w:t>11.评标办法</w:t>
      </w:r>
    </w:p>
    <w:p w14:paraId="27538B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11.1本工程评标办法：</w:t>
      </w:r>
      <w:r>
        <w:rPr>
          <w:rFonts w:hint="eastAsia" w:ascii="宋体" w:hAnsi="宋体" w:cs="宋体"/>
          <w:color w:val="auto"/>
          <w:sz w:val="24"/>
          <w:szCs w:val="24"/>
          <w:highlight w:val="none"/>
          <w:u w:val="single"/>
          <w:lang w:val="en-US" w:eastAsia="zh-CN"/>
        </w:rPr>
        <w:t>综合评估</w:t>
      </w:r>
      <w:r>
        <w:rPr>
          <w:rFonts w:hint="eastAsia" w:ascii="宋体" w:hAnsi="宋体" w:cs="宋体"/>
          <w:color w:val="auto"/>
          <w:sz w:val="24"/>
          <w:szCs w:val="24"/>
          <w:highlight w:val="none"/>
          <w:u w:val="single"/>
        </w:rPr>
        <w:t>法</w:t>
      </w:r>
      <w:r>
        <w:rPr>
          <w:rFonts w:hint="eastAsia" w:ascii="宋体" w:hAnsi="宋体" w:cs="宋体"/>
          <w:color w:val="auto"/>
          <w:sz w:val="24"/>
          <w:szCs w:val="24"/>
          <w:highlight w:val="none"/>
        </w:rPr>
        <w:t>。</w:t>
      </w:r>
    </w:p>
    <w:p w14:paraId="476B0BB9">
      <w:pPr>
        <w:spacing w:before="95" w:beforeLines="30" w:after="95" w:afterLines="30" w:line="440" w:lineRule="exact"/>
        <w:jc w:val="center"/>
        <w:outlineLvl w:val="1"/>
        <w:rPr>
          <w:rFonts w:ascii="宋体" w:hAnsi="宋体" w:cs="宋体"/>
          <w:color w:val="auto"/>
          <w:highlight w:val="none"/>
        </w:rPr>
      </w:pPr>
      <w:bookmarkStart w:id="43" w:name="_Toc29988"/>
      <w:r>
        <w:rPr>
          <w:rFonts w:hint="eastAsia" w:ascii="宋体" w:hAnsi="宋体" w:cs="宋体"/>
          <w:b/>
          <w:bCs/>
          <w:color w:val="auto"/>
          <w:sz w:val="24"/>
          <w:szCs w:val="24"/>
          <w:highlight w:val="none"/>
        </w:rPr>
        <w:t>二、招标文件</w:t>
      </w:r>
      <w:bookmarkEnd w:id="43"/>
    </w:p>
    <w:p w14:paraId="1E12DB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招标文件的编制依据</w:t>
      </w:r>
    </w:p>
    <w:p w14:paraId="5B8502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根据《中华人民共和国招标投标法》、《工程建设项目施工招标投标办法》（七部委联合部令第30号）、《评标委员会和评标方法暂行规定》（七部委联合部令第12号）、《建设工程工程量清单计价规范》（GB50500-2013）、《安徽省建设工程工程量清单计价规范》（DBJ34/T-206-2005）和《滁州市工程量清单计价方式招标评标实施细则（试行）》等相关法律法规和规章及部、省、市级规范性文件的规定，编制本招标文件。</w:t>
      </w:r>
    </w:p>
    <w:p w14:paraId="662DF13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bCs/>
          <w:color w:val="auto"/>
          <w:sz w:val="24"/>
          <w:szCs w:val="24"/>
          <w:highlight w:val="none"/>
        </w:rPr>
        <w:t>招标文件的组成</w:t>
      </w:r>
    </w:p>
    <w:p w14:paraId="2F4D54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招标文件包括内容：</w:t>
      </w:r>
    </w:p>
    <w:p w14:paraId="74FB29E9">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投标须知</w:t>
      </w:r>
    </w:p>
    <w:p w14:paraId="1322F021">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14:paraId="1BA90299">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14:paraId="1701DE65">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技术标准和要求</w:t>
      </w:r>
    </w:p>
    <w:p w14:paraId="3C4AB402">
      <w:pPr>
        <w:spacing w:line="440" w:lineRule="exact"/>
        <w:ind w:firstLine="1200" w:firstLineChars="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14:paraId="37E9EC70">
      <w:pPr>
        <w:adjustRightInd w:val="0"/>
        <w:snapToGrid w:val="0"/>
        <w:spacing w:line="440" w:lineRule="exact"/>
        <w:ind w:firstLine="1200" w:firstLineChars="50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第六章  招标单位、招标代理机构对本招标文件的确认</w:t>
      </w:r>
    </w:p>
    <w:p w14:paraId="100DC83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13.2除13.1内容外，招标答疑亦为招标文件的组成部分，对招标人和投标人起约束作用。</w:t>
      </w:r>
    </w:p>
    <w:p w14:paraId="195EBFA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13.3投标人应仔细检查招标文件的所有内容，</w:t>
      </w:r>
      <w:r>
        <w:rPr>
          <w:rFonts w:hint="eastAsia" w:ascii="宋体" w:hAnsi="宋体" w:eastAsia="宋体" w:cs="宋体"/>
          <w:bCs/>
          <w:color w:val="auto"/>
          <w:sz w:val="24"/>
          <w:szCs w:val="24"/>
          <w:highlight w:val="none"/>
        </w:rPr>
        <w:t>如有残缺等问题应在</w:t>
      </w:r>
      <w:r>
        <w:rPr>
          <w:rFonts w:hint="eastAsia" w:ascii="宋体" w:hAnsi="宋体" w:eastAsia="宋体" w:cs="宋体"/>
          <w:b/>
          <w:color w:val="auto"/>
          <w:sz w:val="24"/>
          <w:szCs w:val="24"/>
          <w:highlight w:val="none"/>
        </w:rPr>
        <w:t>202</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年</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月</w:t>
      </w:r>
      <w:r>
        <w:rPr>
          <w:rFonts w:hint="eastAsia" w:ascii="宋体" w:hAnsi="宋体" w:cs="宋体"/>
          <w:b/>
          <w:color w:val="auto"/>
          <w:sz w:val="24"/>
          <w:szCs w:val="24"/>
          <w:highlight w:val="none"/>
          <w:lang w:val="en-US" w:eastAsia="zh-CN"/>
        </w:rPr>
        <w:t>29</w:t>
      </w:r>
      <w:r>
        <w:rPr>
          <w:rFonts w:hint="eastAsia" w:ascii="宋体" w:hAnsi="宋体" w:eastAsia="宋体" w:cs="宋体"/>
          <w:b/>
          <w:color w:val="auto"/>
          <w:sz w:val="24"/>
          <w:szCs w:val="24"/>
          <w:highlight w:val="none"/>
        </w:rPr>
        <w:t>日1</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时前</w:t>
      </w:r>
      <w:r>
        <w:rPr>
          <w:rFonts w:hint="eastAsia" w:ascii="宋体" w:hAnsi="宋体" w:eastAsia="宋体" w:cs="宋体"/>
          <w:bCs/>
          <w:color w:val="auto"/>
          <w:sz w:val="24"/>
          <w:szCs w:val="24"/>
          <w:highlight w:val="none"/>
        </w:rPr>
        <w:t>投标人将所遇到的问题以电子邮件形式传czsctgczx@163.com滁州市城投工程咨询管理有限公司电子邮箱</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否则</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4DAB20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bCs/>
          <w:color w:val="auto"/>
          <w:sz w:val="24"/>
          <w:szCs w:val="24"/>
          <w:highlight w:val="none"/>
        </w:rPr>
        <w:t>招标文件的澄清、修改、补充、解释</w:t>
      </w:r>
    </w:p>
    <w:p w14:paraId="3846BF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14.1</w:t>
      </w:r>
      <w:r>
        <w:rPr>
          <w:rFonts w:hint="eastAsia" w:ascii="宋体" w:hAnsi="宋体" w:eastAsia="宋体" w:cs="宋体"/>
          <w:color w:val="auto"/>
          <w:kern w:val="0"/>
          <w:sz w:val="24"/>
          <w:szCs w:val="24"/>
          <w:highlight w:val="none"/>
          <w:lang w:val="zh-CN"/>
        </w:rPr>
        <w:t>招标文件发出后</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招标人可对招标文件进行必要的澄清、修改和补充</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澄清内容</w:t>
      </w:r>
      <w:r>
        <w:rPr>
          <w:rFonts w:hint="eastAsia" w:ascii="宋体" w:hAnsi="宋体" w:eastAsia="宋体" w:cs="宋体"/>
          <w:color w:val="auto"/>
          <w:kern w:val="0"/>
          <w:sz w:val="24"/>
          <w:szCs w:val="24"/>
          <w:highlight w:val="none"/>
        </w:rPr>
        <w:t>将于</w:t>
      </w:r>
      <w:r>
        <w:rPr>
          <w:rFonts w:hint="eastAsia" w:ascii="宋体" w:hAnsi="宋体" w:eastAsia="宋体" w:cs="宋体"/>
          <w:b/>
          <w:color w:val="auto"/>
          <w:kern w:val="0"/>
          <w:sz w:val="24"/>
          <w:szCs w:val="24"/>
          <w:highlight w:val="none"/>
        </w:rPr>
        <w:t>202</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年</w:t>
      </w:r>
      <w:r>
        <w:rPr>
          <w:rFonts w:hint="eastAsia" w:ascii="宋体" w:hAnsi="宋体" w:cs="宋体"/>
          <w:b/>
          <w:color w:val="auto"/>
          <w:kern w:val="0"/>
          <w:sz w:val="24"/>
          <w:szCs w:val="24"/>
          <w:highlight w:val="none"/>
          <w:lang w:val="en-US" w:eastAsia="zh-CN"/>
        </w:rPr>
        <w:t>8</w:t>
      </w:r>
      <w:r>
        <w:rPr>
          <w:rFonts w:hint="eastAsia" w:ascii="宋体" w:hAnsi="宋体" w:eastAsia="宋体" w:cs="宋体"/>
          <w:b/>
          <w:color w:val="auto"/>
          <w:kern w:val="0"/>
          <w:sz w:val="24"/>
          <w:szCs w:val="24"/>
          <w:highlight w:val="none"/>
        </w:rPr>
        <w:t>月</w:t>
      </w:r>
      <w:r>
        <w:rPr>
          <w:rFonts w:hint="eastAsia" w:ascii="宋体" w:hAnsi="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日17时</w:t>
      </w:r>
      <w:r>
        <w:rPr>
          <w:rFonts w:hint="eastAsia" w:ascii="宋体" w:hAnsi="宋体" w:eastAsia="宋体" w:cs="宋体"/>
          <w:color w:val="auto"/>
          <w:kern w:val="0"/>
          <w:sz w:val="24"/>
          <w:szCs w:val="24"/>
          <w:highlight w:val="none"/>
        </w:rPr>
        <w:t>后</w:t>
      </w:r>
      <w:r>
        <w:rPr>
          <w:rFonts w:hint="eastAsia" w:ascii="宋体" w:hAnsi="宋体" w:cs="宋体"/>
          <w:color w:val="auto"/>
          <w:kern w:val="0"/>
          <w:sz w:val="24"/>
          <w:szCs w:val="24"/>
          <w:highlight w:val="none"/>
          <w:lang w:val="en-US" w:eastAsia="zh-CN"/>
        </w:rPr>
        <w:t>在网站予以公布</w:t>
      </w:r>
      <w:r>
        <w:rPr>
          <w:rFonts w:hint="eastAsia" w:ascii="宋体" w:hAnsi="宋体" w:eastAsia="宋体" w:cs="宋体"/>
          <w:color w:val="auto"/>
          <w:kern w:val="0"/>
          <w:sz w:val="24"/>
          <w:szCs w:val="24"/>
          <w:highlight w:val="none"/>
          <w:lang w:val="zh-CN"/>
        </w:rPr>
        <w:t>。招标文件的修改内容作为招标文件的组成部分，具有约束作用。</w:t>
      </w:r>
    </w:p>
    <w:p w14:paraId="2678345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本招标文件由招标人委托的招标代理机构负责解释。</w:t>
      </w:r>
    </w:p>
    <w:p w14:paraId="17045D9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15.踏勘现场及投标预备会</w:t>
      </w:r>
    </w:p>
    <w:p w14:paraId="2076303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踏勘现场</w:t>
      </w:r>
    </w:p>
    <w:p w14:paraId="72EA65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15.1.1</w:t>
      </w:r>
      <w:r>
        <w:rPr>
          <w:rFonts w:hint="eastAsia" w:ascii="宋体" w:hAnsi="宋体" w:eastAsia="宋体" w:cs="宋体"/>
          <w:color w:val="auto"/>
          <w:kern w:val="0"/>
          <w:sz w:val="24"/>
          <w:szCs w:val="24"/>
          <w:highlight w:val="none"/>
        </w:rPr>
        <w:t>不再集中召开招标答疑会；投标人自行组织勘察现场。</w:t>
      </w:r>
    </w:p>
    <w:p w14:paraId="2BB4B78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15.2  投标预备会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本项目不采用</w:t>
      </w:r>
      <w:r>
        <w:rPr>
          <w:rFonts w:hint="eastAsia" w:ascii="宋体" w:hAnsi="宋体" w:cs="宋体"/>
          <w:color w:val="auto"/>
          <w:sz w:val="24"/>
          <w:szCs w:val="24"/>
          <w:highlight w:val="none"/>
          <w:lang w:eastAsia="zh-CN"/>
        </w:rPr>
        <w:t>）</w:t>
      </w:r>
    </w:p>
    <w:p w14:paraId="4A03B67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招标文件的发出</w:t>
      </w:r>
    </w:p>
    <w:p w14:paraId="76331E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16.1招标文件、招标文件的澄清、修改、补充及招标答疑等均应报招标人备案后，方可发出。</w:t>
      </w:r>
    </w:p>
    <w:p w14:paraId="23FC16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最高投标限价的作用和说明</w:t>
      </w:r>
    </w:p>
    <w:p w14:paraId="2952B3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bookmarkStart w:id="44" w:name="_Toc24852"/>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val="en-US" w:eastAsia="zh-CN"/>
        </w:rPr>
        <w:t>见投标须知前附表。</w:t>
      </w:r>
    </w:p>
    <w:p w14:paraId="22B1C02B">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三、投标文件的编制</w:t>
      </w:r>
      <w:bookmarkEnd w:id="44"/>
    </w:p>
    <w:p w14:paraId="421E3454">
      <w:pPr>
        <w:pStyle w:val="7"/>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 投标文件的组成</w:t>
      </w:r>
    </w:p>
    <w:p w14:paraId="4688CE24">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22．投标报价</w:t>
      </w:r>
    </w:p>
    <w:p w14:paraId="1556A352">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 投标人的投标报价包括按合同规定的范围所提供的全部服务所需的费用，即招标范围内人员工资、办公费用、成本、利润及税金等全部费用。</w:t>
      </w:r>
    </w:p>
    <w:p w14:paraId="237B99F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 投标报价不按规定报价的，其投标文件按无效标处理。</w:t>
      </w:r>
    </w:p>
    <w:p w14:paraId="03131942">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23.投标有效期</w:t>
      </w:r>
    </w:p>
    <w:p w14:paraId="682EAEF7">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23.1投标有效期为</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rPr>
        <w:t>日历天（从投标截止之日算起）。在此期限内，凡符合本招标文件要求的投标文件均保持有效。</w:t>
      </w:r>
    </w:p>
    <w:p w14:paraId="1E32A41B">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23.2 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w:t>
      </w:r>
    </w:p>
    <w:p w14:paraId="3016FEB3">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 投标保证金</w:t>
      </w:r>
    </w:p>
    <w:p w14:paraId="566D3D51">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24.1 详见须知前附表。</w:t>
      </w:r>
    </w:p>
    <w:p w14:paraId="1FB3DA1D">
      <w:pPr>
        <w:spacing w:before="95" w:beforeLines="30" w:after="95" w:afterLines="30" w:line="440" w:lineRule="exact"/>
        <w:jc w:val="center"/>
        <w:outlineLvl w:val="1"/>
        <w:rPr>
          <w:rFonts w:ascii="宋体" w:hAnsi="宋体" w:cs="宋体"/>
          <w:b/>
          <w:bCs/>
          <w:color w:val="auto"/>
          <w:sz w:val="24"/>
          <w:szCs w:val="24"/>
          <w:highlight w:val="none"/>
        </w:rPr>
      </w:pPr>
      <w:bookmarkStart w:id="45" w:name="_Toc27519"/>
      <w:r>
        <w:rPr>
          <w:rFonts w:hint="eastAsia" w:ascii="宋体" w:hAnsi="宋体" w:cs="宋体"/>
          <w:b/>
          <w:bCs/>
          <w:color w:val="auto"/>
          <w:sz w:val="24"/>
          <w:szCs w:val="24"/>
          <w:highlight w:val="none"/>
        </w:rPr>
        <w:t>四、投标文件的密封和递交</w:t>
      </w:r>
      <w:bookmarkEnd w:id="45"/>
    </w:p>
    <w:p w14:paraId="00368C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25.   投标文件的份数和签署</w:t>
      </w:r>
    </w:p>
    <w:p w14:paraId="30686C4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25.1  投标文件：</w:t>
      </w:r>
      <w:r>
        <w:rPr>
          <w:rFonts w:hint="eastAsia" w:ascii="宋体" w:hAnsi="宋体" w:cs="宋体"/>
          <w:color w:val="auto"/>
          <w:sz w:val="24"/>
          <w:szCs w:val="24"/>
          <w:highlight w:val="none"/>
          <w:lang w:val="en-US" w:eastAsia="zh-CN"/>
        </w:rPr>
        <w:t xml:space="preserve"> 网上递交的电子投标文件：一份。以投标人在投标截止时间前网上递交的电子投标文件为准，逾期提交的，投标文件将被拒绝。</w:t>
      </w:r>
      <w:r>
        <w:rPr>
          <w:rFonts w:hint="eastAsia" w:ascii="宋体" w:hAnsi="宋体" w:cs="宋体"/>
          <w:color w:val="auto"/>
          <w:sz w:val="24"/>
          <w:szCs w:val="24"/>
          <w:highlight w:val="none"/>
        </w:rPr>
        <w:t>。</w:t>
      </w:r>
    </w:p>
    <w:p w14:paraId="618568D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pacing w:val="-4"/>
          <w:sz w:val="24"/>
          <w:szCs w:val="24"/>
          <w:highlight w:val="none"/>
        </w:rPr>
      </w:pPr>
      <w:r>
        <w:rPr>
          <w:rFonts w:hint="eastAsia" w:ascii="宋体" w:hAnsi="宋体" w:cs="宋体"/>
          <w:color w:val="auto"/>
          <w:sz w:val="24"/>
          <w:szCs w:val="24"/>
          <w:highlight w:val="none"/>
        </w:rPr>
        <w:t>25.</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投标文件中的授权书、投标函应当在格式文本要求的相应位置签字和盖章，否则，应当否决其投标。</w:t>
      </w:r>
    </w:p>
    <w:p w14:paraId="1C160BF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投标文件的提交</w:t>
      </w:r>
    </w:p>
    <w:p w14:paraId="381314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kern w:val="0"/>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  投标文件提交的收件人、截止时间及地点：详见须知前附表</w:t>
      </w:r>
    </w:p>
    <w:p w14:paraId="6441DF2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  迟交的投标文件</w:t>
      </w:r>
    </w:p>
    <w:p w14:paraId="6171DBB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.2.1招标人在本须知第2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.1款规定的投标截止时间以后收到的投标文件，将被拒绝。</w:t>
      </w:r>
    </w:p>
    <w:p w14:paraId="247DB80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投标文件的补充、修改与撤回</w:t>
      </w:r>
    </w:p>
    <w:p w14:paraId="3F1C5E4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  投标人在提交投标文件以后，在规定的投标截止时间之前，可以书面形式补充、修改或撤回已提交的投标文件，并以书面形式通知招标人。补充、修改的内容为投标文件的组成部分。</w:t>
      </w:r>
    </w:p>
    <w:p w14:paraId="650B4B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  投标人对投标文件的补充、修改，应按本须知第25条、第26条和第27条有关规定密封、标记和提交，并在投标文件上清楚标明“补充”、“修改”字样。</w:t>
      </w:r>
    </w:p>
    <w:p w14:paraId="1E15E55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  在投标截止时间之后，投标人不得补充、修改投标文件。</w:t>
      </w:r>
    </w:p>
    <w:p w14:paraId="46624E82">
      <w:pPr>
        <w:spacing w:before="95" w:beforeLines="30" w:after="95" w:afterLines="30" w:line="440" w:lineRule="exact"/>
        <w:jc w:val="center"/>
        <w:outlineLvl w:val="1"/>
        <w:rPr>
          <w:rFonts w:ascii="宋体" w:hAnsi="宋体" w:cs="宋体"/>
          <w:b/>
          <w:bCs/>
          <w:color w:val="auto"/>
          <w:sz w:val="24"/>
          <w:szCs w:val="24"/>
          <w:highlight w:val="none"/>
        </w:rPr>
      </w:pPr>
      <w:bookmarkStart w:id="46" w:name="_Toc18173"/>
      <w:r>
        <w:rPr>
          <w:rFonts w:hint="eastAsia" w:ascii="宋体" w:hAnsi="宋体" w:cs="宋体"/>
          <w:b/>
          <w:bCs/>
          <w:color w:val="auto"/>
          <w:sz w:val="24"/>
          <w:szCs w:val="24"/>
          <w:highlight w:val="none"/>
        </w:rPr>
        <w:t>五、开标、评标和定标</w:t>
      </w:r>
      <w:bookmarkEnd w:id="46"/>
    </w:p>
    <w:p w14:paraId="2001485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开标</w:t>
      </w:r>
    </w:p>
    <w:p w14:paraId="2A93571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开标的时间和地点</w:t>
      </w:r>
    </w:p>
    <w:p w14:paraId="18863B4A">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.1.1招标人按本须知第2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1条提交投标文件的截止时间和地点公开开标。</w:t>
      </w:r>
    </w:p>
    <w:p w14:paraId="3CCDFF37">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  参与开标的相关部门：招标人等。</w:t>
      </w:r>
    </w:p>
    <w:p w14:paraId="4114504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  对参加开标的投标人的要求</w:t>
      </w:r>
    </w:p>
    <w:p w14:paraId="0B257B00">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.3.1 </w:t>
      </w:r>
      <w:r>
        <w:rPr>
          <w:rFonts w:hint="eastAsia" w:ascii="宋体" w:hAnsi="宋体" w:cs="宋体"/>
          <w:color w:val="auto"/>
          <w:sz w:val="24"/>
          <w:szCs w:val="24"/>
          <w:highlight w:val="none"/>
          <w:lang w:val="en-US" w:eastAsia="zh-CN"/>
        </w:rPr>
        <w:t>无需达到开标现场</w:t>
      </w:r>
      <w:r>
        <w:rPr>
          <w:rFonts w:hint="eastAsia" w:ascii="宋体" w:hAnsi="宋体" w:eastAsia="宋体" w:cs="宋体"/>
          <w:b/>
          <w:bCs/>
          <w:color w:val="auto"/>
          <w:sz w:val="24"/>
          <w:szCs w:val="24"/>
          <w:highlight w:val="none"/>
        </w:rPr>
        <w:t>。</w:t>
      </w:r>
    </w:p>
    <w:p w14:paraId="01FD895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  开标程序</w:t>
      </w:r>
    </w:p>
    <w:p w14:paraId="0EC17FEB">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①开标会议由招标代理机构：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滁州市城投工程咨询管理有限公司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（招标代理公司）主持；</w:t>
      </w:r>
    </w:p>
    <w:p w14:paraId="38ED9FF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cs="宋体"/>
          <w:color w:val="auto"/>
          <w:sz w:val="24"/>
          <w:szCs w:val="24"/>
          <w:highlight w:val="none"/>
          <w:lang w:val="en-US" w:eastAsia="zh-CN"/>
        </w:rPr>
        <w:t>评标委员会对投标文件进行评审</w:t>
      </w:r>
      <w:r>
        <w:rPr>
          <w:rFonts w:hint="eastAsia" w:ascii="宋体" w:hAnsi="宋体" w:eastAsia="宋体" w:cs="宋体"/>
          <w:color w:val="auto"/>
          <w:sz w:val="24"/>
          <w:szCs w:val="24"/>
          <w:highlight w:val="none"/>
        </w:rPr>
        <w:t>；</w:t>
      </w:r>
    </w:p>
    <w:p w14:paraId="54531C73">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经投标文件评审后，由评标委员会按修正后的投标报价由低到高顺序排序，确定中标候选人；</w:t>
      </w:r>
    </w:p>
    <w:p w14:paraId="1800D1AE">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④</w:t>
      </w:r>
      <w:r>
        <w:rPr>
          <w:rFonts w:hint="eastAsia" w:ascii="宋体" w:hAnsi="宋体" w:eastAsia="宋体" w:cs="宋体"/>
          <w:color w:val="auto"/>
          <w:sz w:val="24"/>
          <w:szCs w:val="24"/>
          <w:highlight w:val="none"/>
        </w:rPr>
        <w:t>代理公司对开标过程进行记录，并存档备查。</w:t>
      </w:r>
    </w:p>
    <w:p w14:paraId="3C2166B1">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   评标</w:t>
      </w:r>
    </w:p>
    <w:p w14:paraId="72E664E4">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  评标办法</w:t>
      </w:r>
    </w:p>
    <w:p w14:paraId="59DAB2C7">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.1.1评标委员会按照第三章“评标办法”规定的方法、评审因素、标准和程序对投标文件进行评审。第三章“评标办法”没有规定的方法、评审因素和标准，不作为评标依据。</w:t>
      </w:r>
    </w:p>
    <w:p w14:paraId="075212F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否决投标情况</w:t>
      </w:r>
    </w:p>
    <w:p w14:paraId="1606059C">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.1  投标文件出现下列情形之一的，应当否决其投标：</w:t>
      </w:r>
    </w:p>
    <w:p w14:paraId="1EF7C2DB">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逾期送达的；</w:t>
      </w:r>
    </w:p>
    <w:p w14:paraId="409DEB22">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rPr>
        <w:t>无单位盖章、无法定代表人或法定代表人授权的代理人签字或盖章的；；</w:t>
      </w:r>
    </w:p>
    <w:p w14:paraId="4A67BC43">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rPr>
        <w:t>未按规定的格式填写，内容不全或关键字迹模糊、无法辨认的；</w:t>
      </w:r>
    </w:p>
    <w:p w14:paraId="6167A878">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④服务</w:t>
      </w:r>
      <w:r>
        <w:rPr>
          <w:rFonts w:hint="eastAsia" w:ascii="宋体" w:hAnsi="宋体" w:eastAsia="宋体" w:cs="宋体"/>
          <w:color w:val="auto"/>
          <w:sz w:val="24"/>
          <w:szCs w:val="24"/>
          <w:highlight w:val="none"/>
        </w:rPr>
        <w:t>期或质量不符合招标文件要求的</w:t>
      </w:r>
    </w:p>
    <w:p w14:paraId="213A5C04">
      <w:pPr>
        <w:keepNext w:val="0"/>
        <w:keepLines w:val="0"/>
        <w:pageBreakBefore w:val="0"/>
        <w:widowControl w:val="0"/>
        <w:kinsoku/>
        <w:wordWrap/>
        <w:overflowPunct/>
        <w:topLinePunct w:val="0"/>
        <w:autoSpaceDE/>
        <w:autoSpaceDN/>
        <w:bidi w:val="0"/>
        <w:adjustRightInd/>
        <w:snapToGrid/>
        <w:spacing w:line="440" w:lineRule="exact"/>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⑤法律、法规、规章和招标文件规定的其他否决投标情形；</w:t>
      </w:r>
    </w:p>
    <w:p w14:paraId="5B16970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定标</w:t>
      </w:r>
    </w:p>
    <w:p w14:paraId="26CFA83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bookmarkStart w:id="47" w:name="_Toc21491"/>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 中标人的确定</w:t>
      </w:r>
    </w:p>
    <w:p w14:paraId="257A3CC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.1.1除投标人须知前附表规定评标委员会直接确定中标人外，</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依据评标委员会推荐的中标候选人确定中标人，评标委员会推荐中标候选人的人数见投标人须知前附表。</w:t>
      </w:r>
    </w:p>
    <w:p w14:paraId="69C7346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.1.2中标人确定后，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应将中标信息在网站上公告。</w:t>
      </w:r>
    </w:p>
    <w:p w14:paraId="16C4302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 中标通知书</w:t>
      </w:r>
    </w:p>
    <w:p w14:paraId="28FF0785">
      <w:pPr>
        <w:pStyle w:val="1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或采购代理机构应在中标人确定之日起2个工作日内，向中标人发出中标通知书。</w:t>
      </w:r>
    </w:p>
    <w:p w14:paraId="2C73FC59">
      <w:pPr>
        <w:spacing w:before="95" w:beforeLines="30" w:after="95" w:afterLines="30" w:line="440" w:lineRule="exact"/>
        <w:jc w:val="center"/>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六、合同的授予</w:t>
      </w:r>
      <w:bookmarkEnd w:id="47"/>
    </w:p>
    <w:p w14:paraId="534D056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合同授予标准</w:t>
      </w:r>
    </w:p>
    <w:p w14:paraId="09CAEEE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.1  本招标工程的合同授予按本须知第32条规定所确定的中标人。</w:t>
      </w:r>
    </w:p>
    <w:p w14:paraId="55FA6FA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合同协议书的签订</w:t>
      </w:r>
    </w:p>
    <w:p w14:paraId="68696A0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.1  中标通知书发放后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日内，按照招标文件和中标人的投标文件订立书面合同。招标人和中标人不得再行订立背离合同实质性内容的其他协议。</w:t>
      </w:r>
    </w:p>
    <w:p w14:paraId="0D88EA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.2  招标人如不按本投标须知第33条的规定与中标人订立合同，或者招标人、中标人订立背离合同实质性内容的协议，招标人应当按给投标人造成的损失予以赔偿，同时依法承担相应法律责任。</w:t>
      </w:r>
    </w:p>
    <w:p w14:paraId="736016F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  中标人如不按本投标须知第33条的规定与招标人订立合同，则招标人将取消其中标资格，给招标人造成的损失予以赔偿，同时依法承担相应法律责任。</w:t>
      </w:r>
    </w:p>
    <w:p w14:paraId="36167D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.4  中标人应当按照合同约定履行义务，完成中标项目的实施，不得将中标项目转让（转包）给他人。</w:t>
      </w:r>
    </w:p>
    <w:p w14:paraId="36EF44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.履约保证金</w:t>
      </w:r>
    </w:p>
    <w:p w14:paraId="446FA4F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详见须知前附表</w:t>
      </w:r>
    </w:p>
    <w:p w14:paraId="0EF3C74F">
      <w:pPr>
        <w:adjustRightInd w:val="0"/>
        <w:snapToGrid w:val="0"/>
        <w:spacing w:line="440" w:lineRule="exact"/>
        <w:jc w:val="center"/>
        <w:rPr>
          <w:rFonts w:hint="eastAsia" w:ascii="黑体" w:eastAsia="黑体"/>
          <w:color w:val="auto"/>
          <w:sz w:val="28"/>
          <w:szCs w:val="28"/>
          <w:highlight w:val="none"/>
        </w:rPr>
      </w:pPr>
      <w:bookmarkStart w:id="48" w:name="_Toc449028874"/>
    </w:p>
    <w:p w14:paraId="4DD14F2A">
      <w:pPr>
        <w:adjustRightInd w:val="0"/>
        <w:snapToGrid w:val="0"/>
        <w:spacing w:line="440" w:lineRule="exact"/>
        <w:jc w:val="center"/>
        <w:rPr>
          <w:rFonts w:hint="eastAsia" w:ascii="黑体" w:eastAsia="黑体"/>
          <w:color w:val="auto"/>
          <w:sz w:val="28"/>
          <w:szCs w:val="28"/>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纪律和监督</w:t>
      </w:r>
      <w:bookmarkEnd w:id="48"/>
    </w:p>
    <w:p w14:paraId="0040313F">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5</w:t>
      </w:r>
      <w:r>
        <w:rPr>
          <w:rFonts w:hint="eastAsia" w:ascii="宋体"/>
          <w:b/>
          <w:color w:val="auto"/>
          <w:sz w:val="24"/>
          <w:szCs w:val="24"/>
          <w:highlight w:val="none"/>
        </w:rPr>
        <w:t>. 对</w:t>
      </w:r>
      <w:r>
        <w:rPr>
          <w:rFonts w:hint="eastAsia" w:ascii="宋体"/>
          <w:b/>
          <w:color w:val="auto"/>
          <w:sz w:val="24"/>
          <w:szCs w:val="24"/>
          <w:highlight w:val="none"/>
          <w:lang w:eastAsia="zh-CN"/>
        </w:rPr>
        <w:t>招标人</w:t>
      </w:r>
      <w:r>
        <w:rPr>
          <w:rFonts w:hint="eastAsia" w:ascii="宋体"/>
          <w:b/>
          <w:color w:val="auto"/>
          <w:sz w:val="24"/>
          <w:szCs w:val="24"/>
          <w:highlight w:val="none"/>
        </w:rPr>
        <w:t xml:space="preserve">的纪律要求 </w:t>
      </w:r>
    </w:p>
    <w:p w14:paraId="7FA66E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5</w:t>
      </w:r>
      <w:r>
        <w:rPr>
          <w:rFonts w:hint="eastAsia" w:ascii="宋体"/>
          <w:color w:val="auto"/>
          <w:kern w:val="10"/>
          <w:sz w:val="24"/>
          <w:szCs w:val="24"/>
          <w:highlight w:val="none"/>
        </w:rPr>
        <w:t>.1</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 xml:space="preserve">不得泄漏招标投标活动中应当保密的情况和资料，不得与投标人串通损害国家利益，社会公共利益或者他人合法权益。 </w:t>
      </w:r>
    </w:p>
    <w:p w14:paraId="01E5FC77">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6</w:t>
      </w:r>
      <w:r>
        <w:rPr>
          <w:rFonts w:hint="eastAsia" w:ascii="宋体"/>
          <w:b/>
          <w:color w:val="auto"/>
          <w:sz w:val="24"/>
          <w:szCs w:val="24"/>
          <w:highlight w:val="none"/>
        </w:rPr>
        <w:t xml:space="preserve">. 对投标人的纪律要求 </w:t>
      </w:r>
    </w:p>
    <w:p w14:paraId="3E07DB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6</w:t>
      </w:r>
      <w:r>
        <w:rPr>
          <w:rFonts w:hint="eastAsia" w:ascii="宋体"/>
          <w:color w:val="auto"/>
          <w:kern w:val="10"/>
          <w:sz w:val="24"/>
          <w:szCs w:val="24"/>
          <w:highlight w:val="none"/>
        </w:rPr>
        <w:t>.1投标人不得相互串通投标或者与</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串通投标，不得向</w:t>
      </w:r>
      <w:r>
        <w:rPr>
          <w:rFonts w:hint="eastAsia" w:ascii="宋体"/>
          <w:color w:val="auto"/>
          <w:kern w:val="10"/>
          <w:sz w:val="24"/>
          <w:szCs w:val="24"/>
          <w:highlight w:val="none"/>
          <w:lang w:eastAsia="zh-CN"/>
        </w:rPr>
        <w:t>招标人</w:t>
      </w:r>
      <w:r>
        <w:rPr>
          <w:rFonts w:hint="eastAsia" w:ascii="宋体"/>
          <w:color w:val="auto"/>
          <w:kern w:val="10"/>
          <w:sz w:val="24"/>
          <w:szCs w:val="24"/>
          <w:highlight w:val="none"/>
        </w:rPr>
        <w:t>或者评标委员会成员行贿谋取中标，不得以他人名义投标或者以其他方式弄虚作假骗取中标；投标人不得以任何方式干扰、影响评标工作。</w:t>
      </w:r>
    </w:p>
    <w:p w14:paraId="6D133B37">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rPr>
        <w:t>3</w:t>
      </w:r>
      <w:r>
        <w:rPr>
          <w:rFonts w:hint="eastAsia" w:ascii="宋体"/>
          <w:b/>
          <w:color w:val="auto"/>
          <w:sz w:val="24"/>
          <w:szCs w:val="24"/>
          <w:highlight w:val="none"/>
          <w:lang w:val="en-US" w:eastAsia="zh-CN"/>
        </w:rPr>
        <w:t>7</w:t>
      </w:r>
      <w:r>
        <w:rPr>
          <w:rFonts w:hint="eastAsia" w:ascii="宋体"/>
          <w:b/>
          <w:color w:val="auto"/>
          <w:sz w:val="24"/>
          <w:szCs w:val="24"/>
          <w:highlight w:val="none"/>
        </w:rPr>
        <w:t xml:space="preserve">. 对评标委员会成员的纪律要求 </w:t>
      </w:r>
    </w:p>
    <w:p w14:paraId="5ED3F3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.1评标委员会成员不得收受他人的财物或者其他好处，不得向他人透漏对投标文件的评审和比较、中标候选人的推荐情况以及评标有关的其他情况。</w:t>
      </w:r>
    </w:p>
    <w:p w14:paraId="0FE6D0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rPr>
        <w:t>3</w:t>
      </w:r>
      <w:r>
        <w:rPr>
          <w:rFonts w:hint="eastAsia" w:ascii="宋体"/>
          <w:color w:val="auto"/>
          <w:kern w:val="10"/>
          <w:sz w:val="24"/>
          <w:szCs w:val="24"/>
          <w:highlight w:val="none"/>
          <w:lang w:val="en-US" w:eastAsia="zh-CN"/>
        </w:rPr>
        <w:t>7</w:t>
      </w:r>
      <w:r>
        <w:rPr>
          <w:rFonts w:hint="eastAsia" w:ascii="宋体"/>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14:paraId="2B7BA668">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b/>
          <w:color w:val="auto"/>
          <w:sz w:val="24"/>
          <w:szCs w:val="24"/>
          <w:highlight w:val="none"/>
        </w:rPr>
      </w:pPr>
      <w:r>
        <w:rPr>
          <w:rFonts w:hint="eastAsia" w:ascii="宋体"/>
          <w:b/>
          <w:color w:val="auto"/>
          <w:sz w:val="24"/>
          <w:szCs w:val="24"/>
          <w:highlight w:val="none"/>
          <w:lang w:val="en-US" w:eastAsia="zh-CN"/>
        </w:rPr>
        <w:t>39</w:t>
      </w:r>
      <w:r>
        <w:rPr>
          <w:rFonts w:hint="eastAsia" w:ascii="宋体"/>
          <w:b/>
          <w:color w:val="auto"/>
          <w:sz w:val="24"/>
          <w:szCs w:val="24"/>
          <w:highlight w:val="none"/>
        </w:rPr>
        <w:t xml:space="preserve">. 对与评标活动有关的工作人员的纪律要求 </w:t>
      </w:r>
    </w:p>
    <w:p w14:paraId="35BB59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color w:val="auto"/>
          <w:kern w:val="10"/>
          <w:sz w:val="24"/>
          <w:szCs w:val="24"/>
          <w:highlight w:val="none"/>
        </w:rPr>
      </w:pPr>
      <w:r>
        <w:rPr>
          <w:rFonts w:hint="eastAsia" w:ascii="宋体"/>
          <w:color w:val="auto"/>
          <w:kern w:val="10"/>
          <w:sz w:val="24"/>
          <w:szCs w:val="24"/>
          <w:highlight w:val="none"/>
          <w:lang w:val="en-US" w:eastAsia="zh-CN"/>
        </w:rPr>
        <w:t>39</w:t>
      </w:r>
      <w:r>
        <w:rPr>
          <w:rFonts w:hint="eastAsia" w:ascii="宋体"/>
          <w:color w:val="auto"/>
          <w:kern w:val="10"/>
          <w:sz w:val="24"/>
          <w:szCs w:val="24"/>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8DC958D">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bookmarkStart w:id="49" w:name="_Toc449028875"/>
    </w:p>
    <w:p w14:paraId="16E607B7">
      <w:pPr>
        <w:adjustRightInd w:val="0"/>
        <w:snapToGrid w:val="0"/>
        <w:spacing w:line="44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八、质疑与投诉</w:t>
      </w:r>
      <w:bookmarkEnd w:id="49"/>
    </w:p>
    <w:p w14:paraId="6E897A5B">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 xml:space="preserve">. </w:t>
      </w:r>
      <w:r>
        <w:rPr>
          <w:rFonts w:hint="eastAsia" w:ascii="宋体" w:hAnsi="宋体"/>
          <w:b/>
          <w:color w:val="auto"/>
          <w:sz w:val="24"/>
          <w:szCs w:val="24"/>
          <w:highlight w:val="none"/>
          <w:lang w:val="en-US" w:eastAsia="zh-CN"/>
        </w:rPr>
        <w:t>异议</w:t>
      </w:r>
    </w:p>
    <w:p w14:paraId="668AFB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.1  若投标人或者其他利害关系人对</w:t>
      </w:r>
      <w:r>
        <w:rPr>
          <w:rFonts w:hint="eastAsia" w:ascii="宋体" w:hAnsi="Times New Roman" w:eastAsia="宋体" w:cs="Times New Roman"/>
          <w:color w:val="auto"/>
          <w:kern w:val="10"/>
          <w:sz w:val="24"/>
          <w:szCs w:val="24"/>
          <w:highlight w:val="none"/>
          <w:lang w:val="en-US" w:eastAsia="zh-CN"/>
        </w:rPr>
        <w:t>中标</w:t>
      </w:r>
      <w:r>
        <w:rPr>
          <w:rFonts w:hint="eastAsia" w:ascii="宋体" w:hAnsi="Times New Roman" w:eastAsia="宋体" w:cs="Times New Roman"/>
          <w:color w:val="auto"/>
          <w:kern w:val="10"/>
          <w:sz w:val="24"/>
          <w:szCs w:val="24"/>
          <w:highlight w:val="none"/>
          <w:lang w:eastAsia="zh-CN"/>
        </w:rPr>
        <w:t>结果有异议，可在公示期内以书面形式，并在工作时间内（上午8:00-12:00,下午2:30-5:30）向招标人或招标代理机构提出异议。</w:t>
      </w:r>
    </w:p>
    <w:p w14:paraId="067A17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异议应以书面形式实名提出，书面异议材料应当包括以下内容：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（1）异议人的名称、地址、有效联系方式；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（2）项目名称、项目编号、标段号（如有）；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（3）被异议人名称；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（4）具体的异议事项、基本事实及必要的证明材料；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（5）明确的请求及主张；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（6）提起异议的日期。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（7）异议人为法人的，应当由法定代表人或授权代表签字并加盖公章；为其他组织或个人的，异议材料须由其主要负责人或者异议人本人签字，并附有效身份证明复印件。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（8）异议人需要修改、补充异议材料的，应当在招标人或招标代理机构规定的期限内提交修改或补充材料。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xml:space="preserve">  </w:t>
      </w:r>
      <w:r>
        <w:rPr>
          <w:rFonts w:hint="eastAsia" w:ascii="宋体" w:hAnsi="Times New Roman" w:eastAsia="宋体" w:cs="Times New Roman"/>
          <w:color w:val="auto"/>
          <w:kern w:val="10"/>
          <w:sz w:val="24"/>
          <w:szCs w:val="24"/>
          <w:highlight w:val="none"/>
          <w:lang w:val="en-US" w:eastAsia="zh-CN"/>
        </w:rPr>
        <w:t xml:space="preserve"> 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val="en-US" w:eastAsia="zh-CN"/>
        </w:rPr>
        <w:t>.2</w:t>
      </w:r>
      <w:r>
        <w:rPr>
          <w:rFonts w:hint="eastAsia" w:ascii="宋体" w:hAnsi="Times New Roman" w:eastAsia="宋体" w:cs="Times New Roman"/>
          <w:color w:val="auto"/>
          <w:kern w:val="10"/>
          <w:sz w:val="24"/>
          <w:szCs w:val="24"/>
          <w:highlight w:val="none"/>
          <w:lang w:eastAsia="zh-CN"/>
        </w:rPr>
        <w:t> </w:t>
      </w:r>
      <w:r>
        <w:rPr>
          <w:rFonts w:hint="eastAsia" w:ascii="宋体" w:hAnsi="Times New Roman" w:eastAsia="宋体" w:cs="Times New Roman"/>
          <w:color w:val="auto"/>
          <w:kern w:val="10"/>
          <w:sz w:val="24"/>
          <w:szCs w:val="24"/>
          <w:highlight w:val="none"/>
          <w:lang w:val="en-US" w:eastAsia="zh-CN"/>
        </w:rPr>
        <w:t xml:space="preserve">  </w:t>
      </w:r>
      <w:r>
        <w:rPr>
          <w:rFonts w:hint="eastAsia" w:ascii="宋体" w:hAnsi="Times New Roman" w:eastAsia="宋体" w:cs="Times New Roman"/>
          <w:color w:val="auto"/>
          <w:kern w:val="10"/>
          <w:sz w:val="24"/>
          <w:szCs w:val="24"/>
          <w:highlight w:val="none"/>
          <w:lang w:eastAsia="zh-CN"/>
        </w:rPr>
        <w:t>有下列情形之一的，不予受理：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（1）提出异议的主体不是所异议项目投标人或者其他利害关系人的；</w:t>
      </w:r>
    </w:p>
    <w:p w14:paraId="79FAE8F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对于依法必须招标的项目，未在公示期间提出异议的；</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（3）异议材料不完整的；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（4）异议事项含有主观猜测等内容且未提供有效线索、难以查证的；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（5）对其他投标人的投标文件详细内容异议，无法提供合法来源渠道的； </w:t>
      </w:r>
      <w:r>
        <w:rPr>
          <w:rFonts w:hint="eastAsia" w:ascii="宋体" w:hAnsi="Times New Roman" w:eastAsia="宋体" w:cs="Times New Roman"/>
          <w:color w:val="auto"/>
          <w:kern w:val="10"/>
          <w:sz w:val="24"/>
          <w:szCs w:val="24"/>
          <w:highlight w:val="none"/>
          <w:lang w:eastAsia="zh-CN"/>
        </w:rPr>
        <w:br w:type="textWrapping"/>
      </w:r>
      <w:r>
        <w:rPr>
          <w:rFonts w:hint="eastAsia" w:ascii="宋体" w:hAnsi="Times New Roman" w:eastAsia="宋体" w:cs="Times New Roman"/>
          <w:color w:val="auto"/>
          <w:kern w:val="10"/>
          <w:sz w:val="24"/>
          <w:szCs w:val="24"/>
          <w:highlight w:val="none"/>
          <w:lang w:eastAsia="zh-CN"/>
        </w:rPr>
        <w:t>  （6）异议事项已进入投诉处理、行政复议或行政诉讼程序的。</w:t>
      </w:r>
    </w:p>
    <w:p w14:paraId="22B345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.3 投标人或其他利害关系人对招标文件有异议的，应在投标截止时间10日前以网上留言或书面形式（包括信函、电报、传真等可以有形的表现所载内容的形式，下同）提出。招标人将在收到异议之日起3日内作出答复。</w:t>
      </w:r>
    </w:p>
    <w:p w14:paraId="727315F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Times New Roman" w:eastAsia="宋体" w:cs="Times New Roman"/>
          <w:color w:val="auto"/>
          <w:kern w:val="10"/>
          <w:sz w:val="24"/>
          <w:szCs w:val="24"/>
          <w:highlight w:val="none"/>
          <w:lang w:eastAsia="zh-CN"/>
        </w:rPr>
      </w:pPr>
      <w:r>
        <w:rPr>
          <w:rFonts w:hint="eastAsia" w:ascii="宋体" w:hAnsi="Times New Roman" w:eastAsia="宋体" w:cs="Times New Roman"/>
          <w:color w:val="auto"/>
          <w:kern w:val="10"/>
          <w:sz w:val="24"/>
          <w:szCs w:val="24"/>
          <w:highlight w:val="none"/>
          <w:lang w:eastAsia="zh-CN"/>
        </w:rPr>
        <w:t>4</w:t>
      </w:r>
      <w:r>
        <w:rPr>
          <w:rFonts w:hint="eastAsia" w:ascii="宋体" w:cs="Times New Roman"/>
          <w:color w:val="auto"/>
          <w:kern w:val="10"/>
          <w:sz w:val="24"/>
          <w:szCs w:val="24"/>
          <w:highlight w:val="none"/>
          <w:lang w:val="en-US" w:eastAsia="zh-CN"/>
        </w:rPr>
        <w:t>0</w:t>
      </w:r>
      <w:r>
        <w:rPr>
          <w:rFonts w:hint="eastAsia" w:ascii="宋体" w:hAnsi="Times New Roman" w:eastAsia="宋体" w:cs="Times New Roman"/>
          <w:color w:val="auto"/>
          <w:kern w:val="10"/>
          <w:sz w:val="24"/>
          <w:szCs w:val="24"/>
          <w:highlight w:val="none"/>
          <w:lang w:eastAsia="zh-CN"/>
        </w:rPr>
        <w:t>.4投标人对开标有异议的，应当在开标现场提出，招标人当场作出答复，并制作记录。异议与答复应通过电子交易系统进行。</w:t>
      </w:r>
    </w:p>
    <w:p w14:paraId="7B0B187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 投诉</w:t>
      </w:r>
    </w:p>
    <w:p w14:paraId="4B0B388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.1</w:t>
      </w:r>
      <w:r>
        <w:rPr>
          <w:rFonts w:hint="eastAsia" w:ascii="宋体" w:hAnsi="宋体" w:cs="宋体"/>
          <w:color w:val="auto"/>
          <w:sz w:val="24"/>
          <w:szCs w:val="24"/>
          <w:highlight w:val="none"/>
        </w:rPr>
        <w:t>投标人和其他利害关系人认为本次招标活动违反法律、法规和规章规定的，有权向有关行政监督部门投诉。投诉应当有明确的请求和必要的证明材料。</w:t>
      </w:r>
    </w:p>
    <w:p w14:paraId="0386502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cs="宋体"/>
          <w:color w:val="auto"/>
          <w:sz w:val="24"/>
          <w:szCs w:val="24"/>
          <w:highlight w:val="none"/>
        </w:rPr>
      </w:pPr>
      <w:r>
        <w:rPr>
          <w:rFonts w:hint="eastAsia" w:ascii="宋体" w:hAnsi="宋体" w:cs="宋体"/>
          <w:color w:val="auto"/>
          <w:sz w:val="24"/>
          <w:szCs w:val="24"/>
          <w:highlight w:val="none"/>
          <w:lang w:val="en-US" w:eastAsia="zh-CN"/>
        </w:rPr>
        <w:t>41.2</w:t>
      </w:r>
      <w:r>
        <w:rPr>
          <w:rFonts w:hint="eastAsia" w:ascii="宋体" w:hAnsi="宋体" w:cs="宋体"/>
          <w:color w:val="auto"/>
          <w:sz w:val="24"/>
          <w:szCs w:val="24"/>
          <w:highlight w:val="none"/>
        </w:rPr>
        <w:t>投标人和其他利害关系人对评标结果等事项投诉的，应当在开标期间或中标</w:t>
      </w:r>
      <w:r>
        <w:rPr>
          <w:rFonts w:hint="eastAsia" w:ascii="宋体" w:hAnsi="宋体" w:cs="宋体"/>
          <w:color w:val="auto"/>
          <w:sz w:val="24"/>
          <w:szCs w:val="24"/>
          <w:highlight w:val="none"/>
          <w:lang w:val="en-US" w:eastAsia="zh-CN"/>
        </w:rPr>
        <w:t>结果</w:t>
      </w:r>
      <w:r>
        <w:rPr>
          <w:rFonts w:hint="eastAsia" w:ascii="宋体" w:hAnsi="宋体" w:cs="宋体"/>
          <w:color w:val="auto"/>
          <w:sz w:val="24"/>
          <w:szCs w:val="24"/>
          <w:highlight w:val="none"/>
        </w:rPr>
        <w:t>公示期间，先向招标人提出异议。</w:t>
      </w:r>
      <w:r>
        <w:rPr>
          <w:rFonts w:hint="eastAsia" w:ascii="宋体" w:hAnsi="宋体" w:cs="宋体"/>
          <w:b/>
          <w:bCs/>
          <w:color w:val="auto"/>
          <w:sz w:val="24"/>
          <w:szCs w:val="24"/>
          <w:highlight w:val="none"/>
        </w:rPr>
        <w:t>注：一份质疑（异议）函只能针对一个项目提出质疑（异议），且针对同一招标采购程序环节的质疑（异议）应当一次性提出。</w:t>
      </w:r>
    </w:p>
    <w:p w14:paraId="78998DFD">
      <w:pPr>
        <w:rPr>
          <w:rFonts w:ascii="仿宋" w:hAnsi="仿宋" w:eastAsia="仿宋" w:cs="仿宋"/>
          <w:b/>
          <w:color w:val="auto"/>
          <w:sz w:val="24"/>
          <w:szCs w:val="24"/>
          <w:highlight w:val="none"/>
        </w:rPr>
      </w:pPr>
      <w:r>
        <w:rPr>
          <w:rFonts w:ascii="宋体"/>
          <w:b/>
          <w:color w:val="auto"/>
          <w:sz w:val="24"/>
          <w:szCs w:val="24"/>
          <w:highlight w:val="none"/>
        </w:rPr>
        <w:br w:type="page"/>
      </w:r>
    </w:p>
    <w:p w14:paraId="3060F213">
      <w:pPr>
        <w:spacing w:before="156" w:beforeLines="50" w:after="156" w:afterLines="50"/>
        <w:jc w:val="center"/>
        <w:outlineLvl w:val="0"/>
        <w:rPr>
          <w:rFonts w:hint="eastAsia" w:ascii="宋体"/>
          <w:b/>
          <w:color w:val="auto"/>
          <w:sz w:val="32"/>
          <w:szCs w:val="32"/>
          <w:highlight w:val="none"/>
        </w:rPr>
      </w:pPr>
      <w:bookmarkStart w:id="50" w:name="_Toc58430316"/>
      <w:bookmarkStart w:id="51" w:name="_Toc14115"/>
      <w:bookmarkStart w:id="52" w:name="_Toc32192"/>
      <w:bookmarkStart w:id="53" w:name="_Toc3222"/>
      <w:bookmarkStart w:id="54" w:name="_Toc12737"/>
      <w:bookmarkStart w:id="55" w:name="_Toc31589_WPSOffice_Level1"/>
      <w:r>
        <w:rPr>
          <w:rFonts w:hint="eastAsia" w:ascii="宋体"/>
          <w:b/>
          <w:color w:val="auto"/>
          <w:sz w:val="32"/>
          <w:szCs w:val="32"/>
          <w:highlight w:val="none"/>
        </w:rPr>
        <w:t>第三章 评标办法（</w:t>
      </w:r>
      <w:r>
        <w:rPr>
          <w:rFonts w:hint="eastAsia" w:ascii="宋体"/>
          <w:b/>
          <w:color w:val="auto"/>
          <w:sz w:val="32"/>
          <w:szCs w:val="32"/>
          <w:highlight w:val="none"/>
          <w:lang w:eastAsia="zh-CN"/>
        </w:rPr>
        <w:t>综合评估法</w:t>
      </w:r>
      <w:r>
        <w:rPr>
          <w:rFonts w:hint="eastAsia" w:ascii="宋体"/>
          <w:b/>
          <w:color w:val="auto"/>
          <w:sz w:val="32"/>
          <w:szCs w:val="32"/>
          <w:highlight w:val="none"/>
        </w:rPr>
        <w:t>）</w:t>
      </w:r>
      <w:bookmarkEnd w:id="50"/>
      <w:bookmarkEnd w:id="51"/>
      <w:bookmarkEnd w:id="52"/>
    </w:p>
    <w:p w14:paraId="0FEBF6A0">
      <w:pPr>
        <w:spacing w:before="156" w:beforeLines="50" w:after="156" w:afterLines="50" w:line="440" w:lineRule="exact"/>
        <w:jc w:val="center"/>
        <w:outlineLvl w:val="1"/>
        <w:rPr>
          <w:rFonts w:hint="eastAsia" w:ascii="宋体"/>
          <w:b/>
          <w:color w:val="auto"/>
          <w:sz w:val="28"/>
          <w:szCs w:val="28"/>
          <w:highlight w:val="none"/>
        </w:rPr>
      </w:pPr>
      <w:bookmarkStart w:id="56" w:name="_Toc362983801"/>
      <w:bookmarkStart w:id="57" w:name="_Toc58430317"/>
      <w:bookmarkStart w:id="58" w:name="_Toc449028877"/>
      <w:bookmarkStart w:id="59" w:name="_Toc267320058"/>
      <w:bookmarkStart w:id="60" w:name="_Toc363135205"/>
      <w:r>
        <w:rPr>
          <w:rFonts w:hint="eastAsia" w:ascii="宋体"/>
          <w:b/>
          <w:color w:val="auto"/>
          <w:sz w:val="28"/>
          <w:szCs w:val="28"/>
          <w:highlight w:val="none"/>
        </w:rPr>
        <w:t>一、总</w:t>
      </w:r>
      <w:r>
        <w:rPr>
          <w:rFonts w:hint="eastAsia" w:ascii="宋体"/>
          <w:b/>
          <w:color w:val="auto"/>
          <w:sz w:val="28"/>
          <w:szCs w:val="28"/>
          <w:highlight w:val="none"/>
          <w:lang w:val="en-US" w:eastAsia="zh-CN"/>
        </w:rPr>
        <w:t xml:space="preserve"> </w:t>
      </w:r>
      <w:r>
        <w:rPr>
          <w:rFonts w:hint="eastAsia" w:ascii="宋体"/>
          <w:b/>
          <w:color w:val="auto"/>
          <w:sz w:val="28"/>
          <w:szCs w:val="28"/>
          <w:highlight w:val="none"/>
        </w:rPr>
        <w:t>则</w:t>
      </w:r>
      <w:bookmarkEnd w:id="56"/>
      <w:bookmarkEnd w:id="57"/>
      <w:bookmarkEnd w:id="58"/>
    </w:p>
    <w:p w14:paraId="5F51E769">
      <w:pPr>
        <w:keepNext w:val="0"/>
        <w:keepLines w:val="0"/>
        <w:pageBreakBefore w:val="0"/>
        <w:widowControl w:val="0"/>
        <w:kinsoku/>
        <w:wordWrap/>
        <w:overflowPunct/>
        <w:topLinePunct w:val="0"/>
        <w:autoSpaceDE/>
        <w:autoSpaceDN/>
        <w:bidi w:val="0"/>
        <w:adjustRightInd/>
        <w:snapToGrid/>
        <w:spacing w:line="440" w:lineRule="exact"/>
        <w:ind w:firstLine="361" w:firstLineChars="150"/>
        <w:jc w:val="left"/>
        <w:textAlignment w:val="auto"/>
        <w:rPr>
          <w:rFonts w:hint="eastAsia" w:ascii="宋体" w:eastAsia="宋体"/>
          <w:b/>
          <w:color w:val="auto"/>
          <w:sz w:val="24"/>
          <w:szCs w:val="24"/>
          <w:highlight w:val="none"/>
          <w:lang w:eastAsia="zh-CN"/>
        </w:rPr>
      </w:pPr>
      <w:r>
        <w:rPr>
          <w:rFonts w:hint="eastAsia" w:ascii="宋体"/>
          <w:b/>
          <w:color w:val="auto"/>
          <w:sz w:val="24"/>
          <w:szCs w:val="24"/>
          <w:highlight w:val="none"/>
        </w:rPr>
        <w:t xml:space="preserve"> 1. 本次评标采用</w:t>
      </w:r>
      <w:r>
        <w:rPr>
          <w:rFonts w:hint="eastAsia" w:ascii="宋体"/>
          <w:b/>
          <w:color w:val="auto"/>
          <w:sz w:val="24"/>
          <w:szCs w:val="24"/>
          <w:highlight w:val="none"/>
          <w:lang w:eastAsia="zh-CN"/>
        </w:rPr>
        <w:t>综合评估法</w:t>
      </w:r>
    </w:p>
    <w:p w14:paraId="2A27890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olor w:val="auto"/>
          <w:sz w:val="24"/>
          <w:szCs w:val="24"/>
          <w:highlight w:val="none"/>
        </w:rPr>
      </w:pPr>
      <w:r>
        <w:rPr>
          <w:rFonts w:hint="eastAsia" w:ascii="宋体"/>
          <w:color w:val="auto"/>
          <w:sz w:val="24"/>
          <w:szCs w:val="24"/>
          <w:highlight w:val="none"/>
        </w:rPr>
        <w:t>1.1</w:t>
      </w:r>
      <w:r>
        <w:rPr>
          <w:rFonts w:hint="eastAsia" w:ascii="宋体"/>
          <w:color w:val="auto"/>
          <w:sz w:val="24"/>
          <w:szCs w:val="24"/>
          <w:highlight w:val="none"/>
          <w:lang w:eastAsia="zh-CN"/>
        </w:rPr>
        <w:t>综合评估法</w:t>
      </w:r>
      <w:r>
        <w:rPr>
          <w:rFonts w:hint="eastAsia" w:ascii="宋体"/>
          <w:color w:val="auto"/>
          <w:sz w:val="24"/>
          <w:szCs w:val="24"/>
          <w:highlight w:val="none"/>
        </w:rPr>
        <w:t>是指投标文件满足招标文件全部实质性要求且按照评审因素的量化指标评审总得分从高到低的</w:t>
      </w:r>
      <w:r>
        <w:rPr>
          <w:rFonts w:hint="eastAsia" w:ascii="宋体"/>
          <w:color w:val="auto"/>
          <w:sz w:val="24"/>
          <w:szCs w:val="24"/>
          <w:highlight w:val="none"/>
          <w:lang w:eastAsia="zh-CN"/>
        </w:rPr>
        <w:t>投标人</w:t>
      </w:r>
      <w:r>
        <w:rPr>
          <w:rFonts w:hint="eastAsia" w:ascii="宋体"/>
          <w:color w:val="auto"/>
          <w:sz w:val="24"/>
          <w:szCs w:val="24"/>
          <w:highlight w:val="none"/>
        </w:rPr>
        <w:t>为中标候选人的评标方法。</w:t>
      </w:r>
    </w:p>
    <w:p w14:paraId="0B30E5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 1.2</w:t>
      </w:r>
      <w:r>
        <w:rPr>
          <w:rFonts w:hint="eastAsia" w:ascii="宋体"/>
          <w:color w:val="auto"/>
          <w:sz w:val="24"/>
          <w:szCs w:val="24"/>
          <w:highlight w:val="none"/>
          <w:lang w:eastAsia="zh-CN"/>
        </w:rPr>
        <w:t>综合评估法</w:t>
      </w:r>
      <w:r>
        <w:rPr>
          <w:rFonts w:hint="eastAsia" w:ascii="宋体"/>
          <w:color w:val="auto"/>
          <w:sz w:val="24"/>
          <w:szCs w:val="24"/>
          <w:highlight w:val="none"/>
        </w:rPr>
        <w:t>一般适用于较为复杂、评价指标难以量化且价格为非主要因素的非标准定制商品和非通用服务项目的项目评审。</w:t>
      </w:r>
    </w:p>
    <w:p w14:paraId="26B314A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b/>
          <w:color w:val="auto"/>
          <w:sz w:val="24"/>
          <w:szCs w:val="24"/>
          <w:highlight w:val="none"/>
        </w:rPr>
      </w:pPr>
      <w:r>
        <w:rPr>
          <w:rFonts w:hint="eastAsia" w:ascii="宋体"/>
          <w:b/>
          <w:color w:val="auto"/>
          <w:sz w:val="24"/>
          <w:szCs w:val="24"/>
          <w:highlight w:val="none"/>
        </w:rPr>
        <w:t>2．评标程序</w:t>
      </w:r>
    </w:p>
    <w:p w14:paraId="736952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2.1投标文件的初审</w:t>
      </w:r>
    </w:p>
    <w:p w14:paraId="0666746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2.1.1资格性检查。依据法律法规和招标文件的规定，对投标文件进行审查，以确定投标人是否具备投标资格。 </w:t>
      </w:r>
    </w:p>
    <w:p w14:paraId="331750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2.1.2符合性检查。依据招标文件的规定，从投标文件的有效性、完整性和对招标文件的响应程度进行审查，以确定投标人是否对招标文件的实质性要求作出响应。</w:t>
      </w:r>
    </w:p>
    <w:p w14:paraId="00F9C09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2.2投标文件的澄清</w:t>
      </w:r>
    </w:p>
    <w:p w14:paraId="77DBA8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2.2.1在评标过程中，评标委员会认为需要，在见证人员在场的情况下，可要求投标人对投标文件中的有关问题进行澄清或提供补充说明及有关资料，投标人应做出书面答复。书面答复中不得变更价格、供货期、自报质量等实质性内容。</w:t>
      </w:r>
    </w:p>
    <w:p w14:paraId="5AB61D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DB704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2.2.3  </w:t>
      </w:r>
      <w:r>
        <w:rPr>
          <w:rFonts w:hint="eastAsia" w:ascii="宋体"/>
          <w:color w:val="auto"/>
          <w:sz w:val="24"/>
          <w:szCs w:val="24"/>
          <w:highlight w:val="none"/>
          <w:lang w:eastAsia="zh-CN"/>
        </w:rPr>
        <w:t>招标人</w:t>
      </w:r>
      <w:r>
        <w:rPr>
          <w:rFonts w:hint="eastAsia" w:ascii="宋体"/>
          <w:color w:val="auto"/>
          <w:sz w:val="24"/>
          <w:szCs w:val="24"/>
          <w:highlight w:val="none"/>
        </w:rPr>
        <w:t>不接受投标人主动提出的澄清。</w:t>
      </w:r>
    </w:p>
    <w:p w14:paraId="6B6D1A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2.3比较与评价</w:t>
      </w:r>
    </w:p>
    <w:p w14:paraId="12BF55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 xml:space="preserve">2．3.1按招标文件中规定的评标方法和标准，对资格性检查和符合性检查合格的投标文件进行资信、商务评估，综合比较与评价。 </w:t>
      </w:r>
      <w:r>
        <w:rPr>
          <w:rFonts w:hint="eastAsia" w:ascii="宋体"/>
          <w:color w:val="auto"/>
          <w:sz w:val="24"/>
          <w:szCs w:val="24"/>
          <w:highlight w:val="none"/>
        </w:rPr>
        <w:br w:type="textWrapping"/>
      </w:r>
      <w:r>
        <w:rPr>
          <w:rFonts w:hint="eastAsia" w:ascii="宋体"/>
          <w:color w:val="auto"/>
          <w:sz w:val="24"/>
          <w:szCs w:val="24"/>
          <w:highlight w:val="none"/>
        </w:rPr>
        <w:t xml:space="preserve">    2.4推荐中标候选人名单</w:t>
      </w:r>
    </w:p>
    <w:p w14:paraId="422402E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2.4.1中标候选人数量应当根据采购需要确定，但必须按顺序排列中标候选人。</w:t>
      </w:r>
    </w:p>
    <w:p w14:paraId="33B30F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color w:val="auto"/>
          <w:sz w:val="24"/>
          <w:szCs w:val="24"/>
          <w:highlight w:val="none"/>
        </w:rPr>
      </w:pPr>
      <w:r>
        <w:rPr>
          <w:rFonts w:hint="eastAsia" w:ascii="宋体"/>
          <w:color w:val="auto"/>
          <w:sz w:val="24"/>
          <w:szCs w:val="24"/>
          <w:highlight w:val="none"/>
        </w:rPr>
        <w:t>2.5在投标文件的审查、澄清、评价和比较以及授予合同过程中，投标人对</w:t>
      </w:r>
      <w:r>
        <w:rPr>
          <w:rFonts w:hint="eastAsia" w:ascii="宋体"/>
          <w:color w:val="auto"/>
          <w:sz w:val="24"/>
          <w:szCs w:val="24"/>
          <w:highlight w:val="none"/>
          <w:lang w:eastAsia="zh-CN"/>
        </w:rPr>
        <w:t>招标人</w:t>
      </w:r>
      <w:r>
        <w:rPr>
          <w:rFonts w:hint="eastAsia" w:ascii="宋体"/>
          <w:color w:val="auto"/>
          <w:sz w:val="24"/>
          <w:szCs w:val="24"/>
          <w:highlight w:val="none"/>
        </w:rPr>
        <w:t>和评标委员会成员施加影响的任何行为，都将导致取消其中标资格。</w:t>
      </w:r>
    </w:p>
    <w:p w14:paraId="0617B023">
      <w:pPr>
        <w:spacing w:before="156" w:beforeLines="50" w:after="156" w:afterLines="50" w:line="360" w:lineRule="auto"/>
        <w:outlineLvl w:val="1"/>
        <w:rPr>
          <w:rFonts w:ascii="宋体"/>
          <w:b/>
          <w:color w:val="auto"/>
          <w:sz w:val="24"/>
          <w:szCs w:val="24"/>
          <w:highlight w:val="none"/>
        </w:rPr>
        <w:sectPr>
          <w:footerReference r:id="rId9" w:type="default"/>
          <w:pgSz w:w="11906" w:h="16838"/>
          <w:pgMar w:top="1440" w:right="1040" w:bottom="1440" w:left="1406" w:header="851" w:footer="992" w:gutter="0"/>
          <w:pgNumType w:fmt="decimal" w:start="1"/>
          <w:cols w:space="720" w:num="1"/>
          <w:docGrid w:type="lines" w:linePitch="312" w:charSpace="0"/>
        </w:sectPr>
      </w:pPr>
      <w:bookmarkStart w:id="61" w:name="_Toc362983802"/>
    </w:p>
    <w:p w14:paraId="3550071B">
      <w:pPr>
        <w:jc w:val="center"/>
        <w:outlineLvl w:val="1"/>
        <w:rPr>
          <w:rFonts w:hint="eastAsia" w:ascii="宋体" w:eastAsia="宋体"/>
          <w:b/>
          <w:color w:val="auto"/>
          <w:sz w:val="28"/>
          <w:szCs w:val="28"/>
          <w:highlight w:val="none"/>
          <w:lang w:eastAsia="zh-CN"/>
        </w:rPr>
      </w:pPr>
      <w:bookmarkStart w:id="62" w:name="_Toc449028878"/>
      <w:bookmarkStart w:id="63" w:name="_Toc58430318"/>
      <w:r>
        <w:rPr>
          <w:rFonts w:hint="eastAsia" w:ascii="宋体"/>
          <w:b/>
          <w:color w:val="auto"/>
          <w:sz w:val="28"/>
          <w:szCs w:val="28"/>
          <w:highlight w:val="none"/>
        </w:rPr>
        <w:t>二、投标文件</w:t>
      </w:r>
      <w:bookmarkEnd w:id="61"/>
      <w:bookmarkEnd w:id="62"/>
      <w:bookmarkEnd w:id="63"/>
      <w:r>
        <w:rPr>
          <w:rFonts w:hint="eastAsia" w:ascii="宋体"/>
          <w:b/>
          <w:color w:val="auto"/>
          <w:sz w:val="28"/>
          <w:szCs w:val="28"/>
          <w:highlight w:val="none"/>
          <w:lang w:val="en-US" w:eastAsia="zh-CN"/>
        </w:rPr>
        <w:t>评审</w:t>
      </w:r>
    </w:p>
    <w:p w14:paraId="29E637DC">
      <w:pPr>
        <w:pageBreakBefore w:val="0"/>
        <w:widowControl w:val="0"/>
        <w:kinsoku/>
        <w:wordWrap/>
        <w:overflowPunct/>
        <w:topLinePunct w:val="0"/>
        <w:autoSpaceDN/>
        <w:bidi w:val="0"/>
        <w:adjustRightInd/>
        <w:snapToGrid/>
        <w:spacing w:line="440" w:lineRule="exact"/>
        <w:ind w:firstLine="422" w:firstLineChars="200"/>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1</w:t>
      </w:r>
      <w:r>
        <w:rPr>
          <w:rFonts w:hint="eastAsia" w:ascii="宋体"/>
          <w:b/>
          <w:color w:val="auto"/>
          <w:sz w:val="21"/>
          <w:szCs w:val="21"/>
          <w:highlight w:val="none"/>
        </w:rPr>
        <w:t>.资格性审查:</w:t>
      </w:r>
    </w:p>
    <w:p w14:paraId="06336E4E">
      <w:pPr>
        <w:pageBreakBefore w:val="0"/>
        <w:widowControl w:val="0"/>
        <w:kinsoku/>
        <w:wordWrap/>
        <w:overflowPunct/>
        <w:topLinePunct w:val="0"/>
        <w:autoSpaceDN/>
        <w:bidi w:val="0"/>
        <w:adjustRightInd/>
        <w:snapToGrid/>
        <w:spacing w:line="440" w:lineRule="exact"/>
        <w:ind w:firstLine="420" w:firstLineChars="200"/>
        <w:textAlignment w:val="auto"/>
        <w:rPr>
          <w:rFonts w:hint="eastAsia"/>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rPr>
        <w:t>.1</w:t>
      </w:r>
      <w:r>
        <w:rPr>
          <w:rFonts w:hint="eastAsia"/>
          <w:color w:val="auto"/>
          <w:sz w:val="21"/>
          <w:szCs w:val="21"/>
          <w:highlight w:val="none"/>
        </w:rPr>
        <w:t>评审细则</w:t>
      </w:r>
    </w:p>
    <w:tbl>
      <w:tblPr>
        <w:tblStyle w:val="45"/>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61"/>
        <w:gridCol w:w="6412"/>
        <w:gridCol w:w="1932"/>
      </w:tblGrid>
      <w:tr w14:paraId="697C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30" w:type="dxa"/>
            <w:gridSpan w:val="2"/>
            <w:noWrap w:val="0"/>
            <w:vAlign w:val="center"/>
          </w:tcPr>
          <w:p w14:paraId="27F1EDF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条款号</w:t>
            </w:r>
          </w:p>
        </w:tc>
        <w:tc>
          <w:tcPr>
            <w:tcW w:w="6412" w:type="dxa"/>
            <w:noWrap w:val="0"/>
            <w:vAlign w:val="center"/>
          </w:tcPr>
          <w:p w14:paraId="3F67AFF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黑体" w:hAnsi="黑体" w:eastAsia="黑体" w:cs="宋体"/>
                <w:b/>
                <w:bCs/>
                <w:color w:val="auto"/>
                <w:sz w:val="21"/>
                <w:szCs w:val="21"/>
                <w:highlight w:val="none"/>
              </w:rPr>
              <w:t>审查内容</w:t>
            </w:r>
          </w:p>
        </w:tc>
        <w:tc>
          <w:tcPr>
            <w:tcW w:w="1932" w:type="dxa"/>
            <w:noWrap w:val="0"/>
            <w:vAlign w:val="center"/>
          </w:tcPr>
          <w:p w14:paraId="7D80C7A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黑体" w:hAnsi="黑体" w:eastAsia="黑体" w:cs="宋体"/>
                <w:b/>
                <w:bCs/>
                <w:color w:val="auto"/>
                <w:sz w:val="21"/>
                <w:szCs w:val="21"/>
                <w:highlight w:val="none"/>
              </w:rPr>
            </w:pPr>
            <w:r>
              <w:rPr>
                <w:rFonts w:hint="eastAsia" w:ascii="宋体" w:hAnsi="宋体" w:cs="宋体"/>
                <w:b/>
                <w:bCs/>
                <w:color w:val="auto"/>
                <w:szCs w:val="21"/>
              </w:rPr>
              <w:t>评审标准</w:t>
            </w:r>
          </w:p>
        </w:tc>
      </w:tr>
      <w:tr w14:paraId="699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9" w:type="dxa"/>
            <w:vMerge w:val="restart"/>
            <w:noWrap w:val="0"/>
            <w:vAlign w:val="center"/>
          </w:tcPr>
          <w:p w14:paraId="626E3C1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61" w:type="dxa"/>
            <w:vMerge w:val="restart"/>
            <w:noWrap w:val="0"/>
            <w:vAlign w:val="center"/>
          </w:tcPr>
          <w:p w14:paraId="223BD64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jc w:val="both"/>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审查资料</w:t>
            </w:r>
          </w:p>
        </w:tc>
        <w:tc>
          <w:tcPr>
            <w:tcW w:w="6412" w:type="dxa"/>
            <w:noWrap w:val="0"/>
            <w:vAlign w:val="top"/>
          </w:tcPr>
          <w:p w14:paraId="023AD2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法定代表人身份证明文件和本人有效身份证(或法定代表人授权委托书和委托代理人有效身份证) （格式见附件）</w:t>
            </w:r>
          </w:p>
        </w:tc>
        <w:tc>
          <w:tcPr>
            <w:tcW w:w="1932" w:type="dxa"/>
            <w:vMerge w:val="restart"/>
            <w:noWrap w:val="0"/>
            <w:vAlign w:val="center"/>
          </w:tcPr>
          <w:p w14:paraId="77C1BE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检验电子投标文件</w:t>
            </w:r>
          </w:p>
        </w:tc>
      </w:tr>
      <w:tr w14:paraId="7151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9" w:type="dxa"/>
            <w:vMerge w:val="continue"/>
            <w:noWrap w:val="0"/>
            <w:vAlign w:val="center"/>
          </w:tcPr>
          <w:p w14:paraId="4841D4F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0D00C71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7DBAFC1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color w:val="auto"/>
                <w:sz w:val="21"/>
                <w:szCs w:val="21"/>
                <w:highlight w:val="none"/>
              </w:rPr>
            </w:pPr>
            <w:r>
              <w:rPr>
                <w:rFonts w:hint="eastAsia" w:ascii="宋体" w:hAnsi="宋体" w:cs="宋体"/>
                <w:color w:val="auto"/>
                <w:sz w:val="21"/>
                <w:szCs w:val="21"/>
                <w:highlight w:val="none"/>
              </w:rPr>
              <w:t>诚信投标承诺书（格式见附件）</w:t>
            </w:r>
          </w:p>
        </w:tc>
        <w:tc>
          <w:tcPr>
            <w:tcW w:w="1932" w:type="dxa"/>
            <w:vMerge w:val="continue"/>
            <w:noWrap w:val="0"/>
            <w:vAlign w:val="top"/>
          </w:tcPr>
          <w:p w14:paraId="5ED0D91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29" w:rightChars="14"/>
              <w:textAlignment w:val="auto"/>
              <w:rPr>
                <w:rFonts w:hint="eastAsia" w:ascii="宋体" w:hAnsi="宋体" w:cs="宋体"/>
                <w:color w:val="auto"/>
                <w:sz w:val="21"/>
                <w:szCs w:val="21"/>
                <w:highlight w:val="none"/>
              </w:rPr>
            </w:pPr>
          </w:p>
        </w:tc>
      </w:tr>
      <w:tr w14:paraId="5AC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9" w:type="dxa"/>
            <w:vMerge w:val="continue"/>
            <w:noWrap w:val="0"/>
            <w:vAlign w:val="center"/>
          </w:tcPr>
          <w:p w14:paraId="333FA2B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785AD43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5263D1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投标人营业执照</w:t>
            </w:r>
            <w:r>
              <w:rPr>
                <w:rFonts w:hint="eastAsia" w:ascii="宋体" w:hAnsi="宋体"/>
                <w:color w:val="auto"/>
                <w:sz w:val="21"/>
                <w:szCs w:val="21"/>
                <w:highlight w:val="none"/>
              </w:rPr>
              <w:t>（或三证合一的有效证件）</w:t>
            </w:r>
          </w:p>
        </w:tc>
        <w:tc>
          <w:tcPr>
            <w:tcW w:w="1932" w:type="dxa"/>
            <w:vMerge w:val="continue"/>
            <w:noWrap w:val="0"/>
            <w:vAlign w:val="top"/>
          </w:tcPr>
          <w:p w14:paraId="7D5BB7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51B5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669" w:type="dxa"/>
            <w:vMerge w:val="continue"/>
            <w:noWrap w:val="0"/>
            <w:vAlign w:val="center"/>
          </w:tcPr>
          <w:p w14:paraId="0E8DBEF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1EC77F1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21962137">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ascii="宋体" w:hAnsi="宋体" w:cs="宋体"/>
                <w:color w:val="auto"/>
                <w:sz w:val="21"/>
                <w:szCs w:val="21"/>
                <w:highlight w:val="none"/>
              </w:rPr>
              <w:t>拟派项目负责人的有效身份证及资质要求的相关证书</w:t>
            </w:r>
          </w:p>
        </w:tc>
        <w:tc>
          <w:tcPr>
            <w:tcW w:w="1932" w:type="dxa"/>
            <w:vMerge w:val="continue"/>
            <w:noWrap w:val="0"/>
            <w:vAlign w:val="top"/>
          </w:tcPr>
          <w:p w14:paraId="52E93A9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7937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69" w:type="dxa"/>
            <w:vMerge w:val="continue"/>
            <w:noWrap w:val="0"/>
            <w:vAlign w:val="center"/>
          </w:tcPr>
          <w:p w14:paraId="0B5E797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p>
        </w:tc>
        <w:tc>
          <w:tcPr>
            <w:tcW w:w="1061" w:type="dxa"/>
            <w:vMerge w:val="continue"/>
            <w:noWrap w:val="0"/>
            <w:vAlign w:val="center"/>
          </w:tcPr>
          <w:p w14:paraId="35C60844">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54E60EA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投标人的法定代表人(或委托代理人)和拟任项目负责人须持有社保部门出具的本单位为其缴纳的投标前近</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tc>
        <w:tc>
          <w:tcPr>
            <w:tcW w:w="1932" w:type="dxa"/>
            <w:vMerge w:val="continue"/>
            <w:noWrap w:val="0"/>
            <w:vAlign w:val="top"/>
          </w:tcPr>
          <w:p w14:paraId="27A8BD2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p>
        </w:tc>
      </w:tr>
      <w:tr w14:paraId="537C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69" w:type="dxa"/>
            <w:vMerge w:val="continue"/>
            <w:noWrap w:val="0"/>
            <w:vAlign w:val="center"/>
          </w:tcPr>
          <w:p w14:paraId="2E1422D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cs="宋体"/>
                <w:color w:val="auto"/>
                <w:sz w:val="21"/>
                <w:szCs w:val="21"/>
                <w:highlight w:val="none"/>
              </w:rPr>
            </w:pPr>
            <w:bookmarkStart w:id="64" w:name="_Toc1191"/>
            <w:bookmarkStart w:id="65" w:name="_Toc449028880"/>
            <w:bookmarkStart w:id="66" w:name="_Toc58430320"/>
          </w:p>
        </w:tc>
        <w:tc>
          <w:tcPr>
            <w:tcW w:w="1061" w:type="dxa"/>
            <w:vMerge w:val="continue"/>
            <w:noWrap w:val="0"/>
            <w:vAlign w:val="center"/>
          </w:tcPr>
          <w:p w14:paraId="4E2F643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center"/>
              <w:textAlignment w:val="auto"/>
              <w:rPr>
                <w:rFonts w:hint="eastAsia" w:ascii="宋体" w:hAnsi="宋体" w:cs="宋体"/>
                <w:b/>
                <w:bCs/>
                <w:color w:val="auto"/>
                <w:sz w:val="21"/>
                <w:szCs w:val="21"/>
                <w:highlight w:val="none"/>
              </w:rPr>
            </w:pPr>
          </w:p>
        </w:tc>
        <w:tc>
          <w:tcPr>
            <w:tcW w:w="6412" w:type="dxa"/>
            <w:noWrap w:val="0"/>
            <w:vAlign w:val="top"/>
          </w:tcPr>
          <w:p w14:paraId="133C27B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项目组成员注册证书和证明专业的证明材料。</w:t>
            </w:r>
          </w:p>
        </w:tc>
        <w:tc>
          <w:tcPr>
            <w:tcW w:w="1932" w:type="dxa"/>
            <w:vMerge w:val="continue"/>
            <w:noWrap w:val="0"/>
            <w:vAlign w:val="top"/>
          </w:tcPr>
          <w:p w14:paraId="16024F8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p>
        </w:tc>
      </w:tr>
      <w:bookmarkEnd w:id="64"/>
    </w:tbl>
    <w:p w14:paraId="66C6B317">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67" w:name="_Toc17672"/>
      <w:bookmarkStart w:id="68" w:name="_Toc324404867"/>
      <w:bookmarkStart w:id="69" w:name="_Toc506107320"/>
      <w:bookmarkStart w:id="70" w:name="_Toc37230750"/>
      <w:bookmarkStart w:id="71" w:name="_Toc15058909"/>
      <w:r>
        <w:rPr>
          <w:rFonts w:hint="eastAsia" w:ascii="宋体" w:hAnsi="宋体" w:eastAsia="宋体" w:cs="宋体"/>
          <w:color w:val="auto"/>
          <w:sz w:val="21"/>
          <w:szCs w:val="21"/>
          <w:highlight w:val="none"/>
        </w:rPr>
        <w:t>2.审查办法</w:t>
      </w:r>
      <w:bookmarkEnd w:id="67"/>
      <w:bookmarkEnd w:id="68"/>
      <w:bookmarkEnd w:id="69"/>
      <w:bookmarkEnd w:id="70"/>
      <w:bookmarkEnd w:id="71"/>
    </w:p>
    <w:p w14:paraId="761DCB87">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1、由资格审查委员会（评审委员会）按资格审查办法前附表中资格审查必要合格条件评审表要求对投标人审查资料进行核验。投标人有下列情形之一的，其资格审查为不合格：</w:t>
      </w:r>
      <w:bookmarkStart w:id="72" w:name="_Toc7413"/>
      <w:bookmarkStart w:id="73" w:name="_Toc324404868"/>
      <w:bookmarkStart w:id="74" w:name="_Toc37230751"/>
      <w:bookmarkStart w:id="75" w:name="_Toc15058910"/>
      <w:bookmarkStart w:id="76" w:name="_Toc506107321"/>
    </w:p>
    <w:p w14:paraId="413886CD">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①逾期送达的；</w:t>
      </w:r>
    </w:p>
    <w:p w14:paraId="79D68A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②无单位盖章、无法定代表人或法定代表人授权的代理人签字或盖章的；；</w:t>
      </w:r>
    </w:p>
    <w:p w14:paraId="61F060DD">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③未按规定的格式填写，内容不全或关键字迹模糊、无法辨认的；</w:t>
      </w:r>
    </w:p>
    <w:p w14:paraId="506A9115">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④服务期或质量不符合招标文件要求的</w:t>
      </w:r>
    </w:p>
    <w:p w14:paraId="545B7B7A">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⑤法律、法规、规章和招标文件规定的其他否决投标情形。</w:t>
      </w:r>
    </w:p>
    <w:p w14:paraId="7E9293C5">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3.资格审查委员会和审查标准</w:t>
      </w:r>
      <w:bookmarkEnd w:id="72"/>
      <w:bookmarkEnd w:id="73"/>
      <w:bookmarkEnd w:id="74"/>
      <w:bookmarkEnd w:id="75"/>
      <w:bookmarkEnd w:id="76"/>
    </w:p>
    <w:p w14:paraId="251B9045">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资格审查由招标单位依法组建的资格审查委员会（或评审委员会）负责。审查标准见资格审查办法前附表。</w:t>
      </w:r>
    </w:p>
    <w:p w14:paraId="178FBFEC">
      <w:pPr>
        <w:pStyle w:val="7"/>
        <w:pageBreakBefore w:val="0"/>
        <w:widowControl w:val="0"/>
        <w:numPr>
          <w:ilvl w:val="1"/>
          <w:numId w:val="0"/>
        </w:numPr>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sz w:val="21"/>
          <w:szCs w:val="21"/>
          <w:highlight w:val="none"/>
        </w:rPr>
      </w:pPr>
      <w:bookmarkStart w:id="77" w:name="_Toc15058911"/>
      <w:bookmarkStart w:id="78" w:name="_Toc37230752"/>
      <w:bookmarkStart w:id="79" w:name="_Toc324404869"/>
      <w:bookmarkStart w:id="80" w:name="_Toc7217"/>
      <w:bookmarkStart w:id="81" w:name="_Toc506107322"/>
      <w:r>
        <w:rPr>
          <w:rFonts w:hint="eastAsia" w:ascii="宋体" w:hAnsi="宋体" w:eastAsia="宋体" w:cs="宋体"/>
          <w:color w:val="auto"/>
          <w:sz w:val="21"/>
          <w:szCs w:val="21"/>
          <w:highlight w:val="none"/>
        </w:rPr>
        <w:t>4.审查结果</w:t>
      </w:r>
      <w:bookmarkEnd w:id="77"/>
      <w:bookmarkEnd w:id="78"/>
      <w:bookmarkEnd w:id="79"/>
      <w:bookmarkEnd w:id="80"/>
      <w:bookmarkEnd w:id="81"/>
    </w:p>
    <w:p w14:paraId="09DCABE8">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只有通过资格审查的投标人才能进入下一步的评审程序。</w:t>
      </w:r>
    </w:p>
    <w:p w14:paraId="0DB48F1A">
      <w:pPr>
        <w:spacing w:line="400" w:lineRule="exact"/>
        <w:jc w:val="center"/>
        <w:outlineLvl w:val="1"/>
        <w:rPr>
          <w:rFonts w:hint="eastAsia" w:ascii="宋体"/>
          <w:b/>
          <w:color w:val="auto"/>
          <w:sz w:val="21"/>
          <w:szCs w:val="21"/>
          <w:highlight w:val="none"/>
        </w:rPr>
      </w:pPr>
    </w:p>
    <w:p w14:paraId="59081406">
      <w:pPr>
        <w:spacing w:line="400" w:lineRule="exact"/>
        <w:jc w:val="center"/>
        <w:outlineLvl w:val="1"/>
        <w:rPr>
          <w:rFonts w:hint="eastAsia" w:ascii="宋体"/>
          <w:b/>
          <w:color w:val="auto"/>
          <w:sz w:val="21"/>
          <w:szCs w:val="21"/>
          <w:highlight w:val="none"/>
        </w:rPr>
      </w:pPr>
      <w:r>
        <w:rPr>
          <w:rFonts w:hint="eastAsia" w:ascii="宋体"/>
          <w:b/>
          <w:color w:val="auto"/>
          <w:sz w:val="21"/>
          <w:szCs w:val="21"/>
          <w:highlight w:val="none"/>
        </w:rPr>
        <w:t>比较与评价</w:t>
      </w:r>
      <w:bookmarkEnd w:id="65"/>
      <w:bookmarkEnd w:id="66"/>
    </w:p>
    <w:p w14:paraId="633F1DC6">
      <w:pPr>
        <w:keepNext w:val="0"/>
        <w:keepLines w:val="0"/>
        <w:pageBreakBefore w:val="0"/>
        <w:widowControl w:val="0"/>
        <w:kinsoku/>
        <w:overflowPunct/>
        <w:topLinePunct w:val="0"/>
        <w:autoSpaceDE/>
        <w:autoSpaceDN/>
        <w:bidi w:val="0"/>
        <w:adjustRightInd/>
        <w:snapToGrid/>
        <w:spacing w:line="440" w:lineRule="exact"/>
        <w:ind w:firstLine="417" w:firstLineChars="198"/>
        <w:textAlignment w:val="auto"/>
        <w:rPr>
          <w:rFonts w:ascii="宋体"/>
          <w:b/>
          <w:color w:val="auto"/>
          <w:sz w:val="21"/>
          <w:szCs w:val="21"/>
          <w:highlight w:val="none"/>
        </w:rPr>
      </w:pPr>
      <w:r>
        <w:rPr>
          <w:rFonts w:hint="eastAsia" w:ascii="宋体" w:hAnsi="宋体"/>
          <w:b/>
          <w:color w:val="auto"/>
          <w:sz w:val="21"/>
          <w:szCs w:val="21"/>
          <w:highlight w:val="none"/>
        </w:rPr>
        <w:t xml:space="preserve"> </w:t>
      </w: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w:t>
      </w:r>
      <w:bookmarkStart w:id="82" w:name="_Toc362983805"/>
      <w:r>
        <w:rPr>
          <w:rFonts w:hint="eastAsia" w:ascii="宋体" w:hAnsi="宋体"/>
          <w:b/>
          <w:color w:val="auto"/>
          <w:sz w:val="21"/>
          <w:szCs w:val="21"/>
          <w:highlight w:val="none"/>
        </w:rPr>
        <w:t xml:space="preserve"> </w:t>
      </w:r>
      <w:r>
        <w:rPr>
          <w:rFonts w:hint="eastAsia" w:ascii="宋体"/>
          <w:b/>
          <w:color w:val="auto"/>
          <w:sz w:val="21"/>
          <w:szCs w:val="21"/>
          <w:highlight w:val="none"/>
        </w:rPr>
        <w:t>详细评审即按招标文件中规定的评标方法和标准，评标委员会将对通过初审的投标文件，进行商务部分评估、综合比较与评价。</w:t>
      </w:r>
    </w:p>
    <w:p w14:paraId="67652EB6">
      <w:pPr>
        <w:keepNext w:val="0"/>
        <w:keepLines w:val="0"/>
        <w:pageBreakBefore w:val="0"/>
        <w:widowControl w:val="0"/>
        <w:kinsoku/>
        <w:overflowPunct/>
        <w:topLinePunct w:val="0"/>
        <w:autoSpaceDE/>
        <w:autoSpaceDN/>
        <w:bidi w:val="0"/>
        <w:adjustRightInd/>
        <w:snapToGrid/>
        <w:spacing w:line="440" w:lineRule="exact"/>
        <w:ind w:firstLine="517" w:firstLineChars="245"/>
        <w:textAlignment w:val="auto"/>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1</w:t>
      </w:r>
      <w:r>
        <w:rPr>
          <w:rFonts w:hint="eastAsia" w:ascii="宋体" w:hAnsi="宋体"/>
          <w:b/>
          <w:color w:val="auto"/>
          <w:sz w:val="21"/>
          <w:szCs w:val="21"/>
          <w:highlight w:val="none"/>
        </w:rPr>
        <w:t>.1</w:t>
      </w:r>
      <w:r>
        <w:rPr>
          <w:rFonts w:hint="eastAsia" w:ascii="宋体" w:hAnsi="宋体"/>
          <w:b/>
          <w:color w:val="auto"/>
          <w:sz w:val="21"/>
          <w:szCs w:val="21"/>
          <w:highlight w:val="none"/>
          <w:lang w:val="en-US" w:eastAsia="zh-CN"/>
        </w:rPr>
        <w:t>资信评审细则（40分）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0"/>
        <w:gridCol w:w="1620"/>
        <w:gridCol w:w="6600"/>
      </w:tblGrid>
      <w:tr w14:paraId="0714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13A933A">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B2E466E">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评分因素</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B1F7112">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评审细则</w:t>
            </w:r>
          </w:p>
        </w:tc>
      </w:tr>
      <w:tr w14:paraId="0F44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DDFF5B5">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964596F">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企业业绩</w:t>
            </w:r>
          </w:p>
          <w:p w14:paraId="048D6D1E">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7A80D9BE">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投标人自</w:t>
            </w:r>
            <w:r>
              <w:rPr>
                <w:rFonts w:hint="eastAsia" w:ascii="宋体" w:hAnsi="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年1月1日至投标文件提交截止时间前，承担过单个合同施工总金额</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000万元以上的新建</w:t>
            </w:r>
            <w:r>
              <w:rPr>
                <w:rFonts w:hint="eastAsia" w:ascii="宋体" w:hAnsi="宋体" w:eastAsia="宋体" w:cs="宋体"/>
                <w:color w:val="auto"/>
                <w:kern w:val="2"/>
                <w:sz w:val="21"/>
                <w:szCs w:val="21"/>
                <w:highlight w:val="none"/>
                <w:lang w:val="en-US" w:eastAsia="zh-CN"/>
              </w:rPr>
              <w:t>房屋</w:t>
            </w:r>
            <w:r>
              <w:rPr>
                <w:rFonts w:hint="eastAsia" w:ascii="宋体" w:hAnsi="宋体" w:eastAsia="宋体" w:cs="宋体"/>
                <w:color w:val="auto"/>
                <w:kern w:val="2"/>
                <w:sz w:val="21"/>
                <w:szCs w:val="21"/>
                <w:highlight w:val="none"/>
              </w:rPr>
              <w:t>建筑工程</w:t>
            </w:r>
            <w:r>
              <w:rPr>
                <w:rFonts w:hint="eastAsia" w:ascii="宋体" w:hAnsi="宋体" w:cs="宋体"/>
                <w:color w:val="auto"/>
                <w:kern w:val="2"/>
                <w:sz w:val="21"/>
                <w:szCs w:val="21"/>
                <w:highlight w:val="none"/>
                <w:lang w:val="en-US" w:eastAsia="zh-CN"/>
              </w:rPr>
              <w:t>工程量清单及最高投标限价编制业绩的，每提供1个得5分，满分10分。</w:t>
            </w:r>
          </w:p>
          <w:p w14:paraId="5F22CC37">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电子投标文件须</w:t>
            </w:r>
            <w:r>
              <w:rPr>
                <w:rFonts w:hint="eastAsia" w:ascii="宋体" w:hAnsi="宋体" w:eastAsia="宋体" w:cs="宋体"/>
                <w:color w:val="auto"/>
                <w:kern w:val="2"/>
                <w:sz w:val="21"/>
                <w:szCs w:val="21"/>
                <w:highlight w:val="none"/>
              </w:rPr>
              <w:t>同时提供①咨询成果报告（文件），咨询成果报告（文件）是指投标人作为工程量清单和最高投标限价编制单位出具的经建设单位认可的工程量清单和最高投标限价文件主要页面，业绩时间以最高投标限价文件出具时间为准，金额以最高投标限价文件为准；②合同</w:t>
            </w:r>
            <w:r>
              <w:rPr>
                <w:rFonts w:hint="eastAsia" w:ascii="宋体" w:hAnsi="宋体" w:cs="宋体"/>
                <w:color w:val="auto"/>
                <w:kern w:val="2"/>
                <w:sz w:val="21"/>
                <w:szCs w:val="21"/>
                <w:highlight w:val="none"/>
                <w:lang w:eastAsia="zh-CN"/>
              </w:rPr>
              <w:t>。</w:t>
            </w:r>
          </w:p>
        </w:tc>
      </w:tr>
      <w:tr w14:paraId="2301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2AF8376">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00CD347">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项目负责人业绩</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13BA6191">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项目负责人</w:t>
            </w:r>
            <w:r>
              <w:rPr>
                <w:rFonts w:hint="eastAsia" w:ascii="宋体" w:hAnsi="宋体" w:eastAsia="宋体" w:cs="宋体"/>
                <w:color w:val="auto"/>
                <w:kern w:val="2"/>
                <w:sz w:val="21"/>
                <w:szCs w:val="21"/>
                <w:highlight w:val="none"/>
              </w:rPr>
              <w:t>自</w:t>
            </w:r>
            <w:r>
              <w:rPr>
                <w:rFonts w:hint="eastAsia" w:ascii="宋体" w:hAnsi="宋体" w:cs="宋体"/>
                <w:color w:val="auto"/>
                <w:kern w:val="2"/>
                <w:sz w:val="21"/>
                <w:szCs w:val="21"/>
                <w:highlight w:val="none"/>
                <w:lang w:val="en-US" w:eastAsia="zh-CN"/>
              </w:rPr>
              <w:t>2021</w:t>
            </w:r>
            <w:r>
              <w:rPr>
                <w:rFonts w:hint="eastAsia" w:ascii="宋体" w:hAnsi="宋体" w:eastAsia="宋体" w:cs="宋体"/>
                <w:color w:val="auto"/>
                <w:kern w:val="2"/>
                <w:sz w:val="21"/>
                <w:szCs w:val="21"/>
                <w:highlight w:val="none"/>
              </w:rPr>
              <w:t>年1月1日至投标文件提交截止时间前，承担过单个合同施工总金额</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000万元以上的新建</w:t>
            </w:r>
            <w:r>
              <w:rPr>
                <w:rFonts w:hint="eastAsia" w:ascii="宋体" w:hAnsi="宋体" w:eastAsia="宋体" w:cs="宋体"/>
                <w:color w:val="auto"/>
                <w:kern w:val="2"/>
                <w:sz w:val="21"/>
                <w:szCs w:val="21"/>
                <w:highlight w:val="none"/>
                <w:lang w:val="en-US" w:eastAsia="zh-CN"/>
              </w:rPr>
              <w:t>房屋</w:t>
            </w:r>
            <w:r>
              <w:rPr>
                <w:rFonts w:hint="eastAsia" w:ascii="宋体" w:hAnsi="宋体" w:eastAsia="宋体" w:cs="宋体"/>
                <w:color w:val="auto"/>
                <w:kern w:val="2"/>
                <w:sz w:val="21"/>
                <w:szCs w:val="21"/>
                <w:highlight w:val="none"/>
              </w:rPr>
              <w:t>建筑工程</w:t>
            </w:r>
            <w:r>
              <w:rPr>
                <w:rFonts w:hint="eastAsia" w:ascii="宋体" w:hAnsi="宋体" w:cs="宋体"/>
                <w:color w:val="auto"/>
                <w:kern w:val="2"/>
                <w:sz w:val="21"/>
                <w:szCs w:val="21"/>
                <w:highlight w:val="none"/>
                <w:lang w:val="en-US" w:eastAsia="zh-CN"/>
              </w:rPr>
              <w:t>工程量清单及最高投标限价编制业绩的，每提供1个得5分，满分10分。</w:t>
            </w:r>
          </w:p>
          <w:p w14:paraId="17AD0323">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电子投标文件须</w:t>
            </w:r>
            <w:r>
              <w:rPr>
                <w:rFonts w:hint="eastAsia" w:ascii="宋体" w:hAnsi="宋体" w:eastAsia="宋体" w:cs="宋体"/>
                <w:color w:val="auto"/>
                <w:kern w:val="2"/>
                <w:sz w:val="21"/>
                <w:szCs w:val="21"/>
                <w:highlight w:val="none"/>
              </w:rPr>
              <w:t>同时提供①咨询成果报告（文件），咨询成果报告（文件）是指投标人作为工程量清单和最高投标限价编制单位出具的经建设单位认可的工程量清单和最高投标限价文件主要页面，业绩时间以最高投标限价文件出具时间为准，金额以最高投标限价文件为准；②合同</w:t>
            </w:r>
            <w:r>
              <w:rPr>
                <w:rFonts w:hint="eastAsia" w:ascii="宋体" w:hAnsi="宋体" w:cs="宋体"/>
                <w:color w:val="auto"/>
                <w:kern w:val="2"/>
                <w:sz w:val="21"/>
                <w:szCs w:val="21"/>
                <w:highlight w:val="none"/>
                <w:lang w:eastAsia="zh-CN"/>
              </w:rPr>
              <w:t>。</w:t>
            </w:r>
            <w:r>
              <w:rPr>
                <w:rFonts w:hint="default" w:ascii="宋体" w:hAnsi="宋体" w:eastAsia="宋体" w:cs="宋体"/>
                <w:color w:val="auto"/>
                <w:kern w:val="2"/>
                <w:sz w:val="21"/>
                <w:szCs w:val="21"/>
                <w:highlight w:val="none"/>
                <w:lang w:eastAsia="zh-CN"/>
              </w:rPr>
              <w:t>③</w:t>
            </w:r>
            <w:r>
              <w:rPr>
                <w:rFonts w:hint="eastAsia" w:ascii="宋体" w:hAnsi="宋体" w:cs="宋体"/>
                <w:color w:val="auto"/>
                <w:kern w:val="2"/>
                <w:sz w:val="21"/>
                <w:szCs w:val="21"/>
                <w:highlight w:val="none"/>
                <w:lang w:val="en-US" w:eastAsia="zh-CN"/>
              </w:rPr>
              <w:t>咨询成果报告（文件）项目负责人印章和合同中（如有项目负责人姓名）项目负责人姓名不一致的，不予认</w:t>
            </w:r>
            <w:r>
              <w:rPr>
                <w:rFonts w:hint="eastAsia" w:ascii="宋体" w:hAnsi="宋体" w:eastAsia="宋体" w:cs="宋体"/>
                <w:color w:val="auto"/>
                <w:kern w:val="2"/>
                <w:sz w:val="21"/>
                <w:szCs w:val="21"/>
                <w:highlight w:val="none"/>
                <w:lang w:val="en-US" w:eastAsia="zh-CN"/>
              </w:rPr>
              <w:t>可。④项目负</w:t>
            </w:r>
            <w:r>
              <w:rPr>
                <w:rFonts w:hint="eastAsia" w:ascii="宋体" w:hAnsi="宋体" w:cs="宋体"/>
                <w:color w:val="auto"/>
                <w:kern w:val="2"/>
                <w:sz w:val="21"/>
                <w:szCs w:val="21"/>
                <w:highlight w:val="none"/>
                <w:lang w:val="en-US" w:eastAsia="zh-CN"/>
              </w:rPr>
              <w:t>责人业绩和企业业绩不得为同一个业绩。</w:t>
            </w:r>
          </w:p>
        </w:tc>
      </w:tr>
      <w:tr w14:paraId="1749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22F44EFE">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DBFF0A9">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项目组人员</w:t>
            </w:r>
          </w:p>
          <w:p w14:paraId="4F773B8F">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E109384">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1.拟派的项目负责人具有工程类（</w:t>
            </w:r>
            <w:r>
              <w:rPr>
                <w:rFonts w:hint="eastAsia" w:ascii="宋体" w:hAnsi="宋体" w:eastAsia="宋体" w:cs="宋体"/>
                <w:color w:val="auto"/>
                <w:kern w:val="2"/>
                <w:sz w:val="21"/>
                <w:szCs w:val="21"/>
                <w:highlight w:val="none"/>
              </w:rPr>
              <w:t>或工程经济类</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高级</w:t>
            </w:r>
            <w:r>
              <w:rPr>
                <w:rFonts w:hint="eastAsia" w:ascii="宋体" w:hAnsi="宋体" w:eastAsia="宋体" w:cs="宋体"/>
                <w:color w:val="auto"/>
                <w:kern w:val="2"/>
                <w:sz w:val="21"/>
                <w:szCs w:val="21"/>
                <w:highlight w:val="none"/>
                <w:lang w:val="en-US" w:eastAsia="zh-CN"/>
              </w:rPr>
              <w:t>及以上</w:t>
            </w:r>
            <w:r>
              <w:rPr>
                <w:rFonts w:hint="eastAsia" w:ascii="宋体" w:hAnsi="宋体" w:eastAsia="宋体" w:cs="宋体"/>
                <w:color w:val="auto"/>
                <w:kern w:val="2"/>
                <w:sz w:val="21"/>
                <w:szCs w:val="21"/>
                <w:highlight w:val="none"/>
              </w:rPr>
              <w:t>职称</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val="en-US" w:eastAsia="zh-CN"/>
              </w:rPr>
              <w:t>得2分。</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提供上述人员相关职称证书。</w:t>
            </w:r>
          </w:p>
          <w:p w14:paraId="458BDC46">
            <w:pPr>
              <w:keepNext w:val="0"/>
              <w:keepLines w:val="0"/>
              <w:widowControl w:val="0"/>
              <w:suppressLineNumbers w:val="0"/>
              <w:wordWrap w:val="0"/>
              <w:autoSpaceDE w:val="0"/>
              <w:autoSpaceDN/>
              <w:spacing w:before="0" w:beforeAutospacing="0" w:after="0" w:afterAutospacing="0" w:line="440" w:lineRule="exact"/>
              <w:ind w:left="0" w:right="0"/>
              <w:jc w:val="both"/>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val="en-US" w:eastAsia="zh-CN"/>
              </w:rPr>
              <w:t>2.项目组成员（不含项目负责人）</w:t>
            </w:r>
            <w:r>
              <w:rPr>
                <w:rFonts w:hint="eastAsia" w:ascii="宋体" w:hAnsi="宋体" w:eastAsia="宋体" w:cs="宋体"/>
                <w:color w:val="auto"/>
                <w:kern w:val="2"/>
                <w:sz w:val="21"/>
                <w:szCs w:val="21"/>
                <w:highlight w:val="none"/>
              </w:rPr>
              <w:t>具有工程类（或工程经济类）高级</w:t>
            </w:r>
            <w:r>
              <w:rPr>
                <w:rFonts w:hint="eastAsia" w:ascii="宋体" w:hAnsi="宋体" w:eastAsia="宋体" w:cs="宋体"/>
                <w:color w:val="auto"/>
                <w:kern w:val="2"/>
                <w:sz w:val="21"/>
                <w:szCs w:val="21"/>
                <w:highlight w:val="none"/>
                <w:lang w:val="en-US" w:eastAsia="zh-CN"/>
              </w:rPr>
              <w:t>及以上</w:t>
            </w:r>
            <w:r>
              <w:rPr>
                <w:rFonts w:hint="eastAsia" w:ascii="宋体" w:hAnsi="宋体" w:eastAsia="宋体" w:cs="宋体"/>
                <w:color w:val="auto"/>
                <w:kern w:val="2"/>
                <w:sz w:val="21"/>
                <w:szCs w:val="21"/>
                <w:highlight w:val="none"/>
              </w:rPr>
              <w:t>职称的，每</w:t>
            </w:r>
            <w:r>
              <w:rPr>
                <w:rFonts w:hint="eastAsia" w:ascii="宋体" w:hAnsi="宋体" w:eastAsia="宋体" w:cs="宋体"/>
                <w:color w:val="auto"/>
                <w:kern w:val="2"/>
                <w:sz w:val="21"/>
                <w:szCs w:val="21"/>
                <w:highlight w:val="none"/>
                <w:lang w:val="en-US" w:eastAsia="zh-CN"/>
              </w:rPr>
              <w:t>提供</w:t>
            </w:r>
            <w:r>
              <w:rPr>
                <w:rFonts w:hint="eastAsia" w:ascii="宋体" w:hAnsi="宋体" w:eastAsia="宋体" w:cs="宋体"/>
                <w:color w:val="auto"/>
                <w:kern w:val="2"/>
                <w:sz w:val="21"/>
                <w:szCs w:val="21"/>
                <w:highlight w:val="none"/>
              </w:rPr>
              <w:t>1人加</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分，满分</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提供上述人员相关职称证书。</w:t>
            </w:r>
          </w:p>
          <w:p w14:paraId="3E380571">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eastAsia="宋体"/>
                <w:color w:val="auto"/>
                <w:highlight w:val="none"/>
                <w:lang w:val="en-US" w:eastAsia="zh-CN"/>
              </w:rPr>
            </w:pPr>
            <w:r>
              <w:rPr>
                <w:rFonts w:hint="eastAsia" w:ascii="宋体" w:hAnsi="宋体" w:cs="宋体"/>
                <w:color w:val="auto"/>
                <w:kern w:val="2"/>
                <w:sz w:val="21"/>
                <w:szCs w:val="21"/>
                <w:highlight w:val="none"/>
                <w:lang w:val="en-US" w:eastAsia="zh-CN"/>
              </w:rPr>
              <w:t>3.项目组成员（含项目负责人）</w:t>
            </w:r>
            <w:r>
              <w:rPr>
                <w:rFonts w:hint="eastAsia" w:ascii="宋体" w:hAnsi="宋体" w:eastAsia="宋体" w:cs="宋体"/>
                <w:color w:val="auto"/>
                <w:kern w:val="2"/>
                <w:sz w:val="21"/>
                <w:szCs w:val="21"/>
                <w:highlight w:val="none"/>
                <w:lang w:val="en-US" w:eastAsia="zh-CN"/>
              </w:rPr>
              <w:t>获得过市级及以上相关主管部门或造价行业协会颁发</w:t>
            </w:r>
            <w:r>
              <w:rPr>
                <w:rFonts w:hint="eastAsia" w:ascii="宋体" w:hAnsi="宋体" w:cs="宋体"/>
                <w:color w:val="auto"/>
                <w:kern w:val="2"/>
                <w:sz w:val="21"/>
                <w:szCs w:val="21"/>
                <w:highlight w:val="none"/>
                <w:lang w:val="en-US" w:eastAsia="zh-CN"/>
              </w:rPr>
              <w:t>的“先进个人”、“优秀个人”等或技能大赛三等奖及以上的，每个得2分，满分4分。</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提供荣誉证书或获奖证书或获奖文件。</w:t>
            </w:r>
          </w:p>
        </w:tc>
      </w:tr>
      <w:tr w14:paraId="45EF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0867D866">
            <w:pPr>
              <w:keepNext w:val="0"/>
              <w:keepLines w:val="0"/>
              <w:widowControl w:val="0"/>
              <w:suppressLineNumbers w:val="0"/>
              <w:autoSpaceDE w:val="0"/>
              <w:autoSpaceDN/>
              <w:spacing w:before="0" w:beforeAutospacing="0" w:after="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1BAFFED">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企业实力</w:t>
            </w:r>
          </w:p>
          <w:p w14:paraId="4552E9BB">
            <w:pPr>
              <w:keepNext w:val="0"/>
              <w:keepLines w:val="0"/>
              <w:widowControl w:val="0"/>
              <w:suppressLineNumbers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（10分）</w:t>
            </w:r>
          </w:p>
        </w:tc>
        <w:tc>
          <w:tcPr>
            <w:tcW w:w="6600" w:type="dxa"/>
            <w:tcBorders>
              <w:top w:val="single" w:color="auto" w:sz="4" w:space="0"/>
              <w:left w:val="single" w:color="auto" w:sz="4" w:space="0"/>
              <w:bottom w:val="single" w:color="auto" w:sz="4" w:space="0"/>
              <w:right w:val="single" w:color="auto" w:sz="4" w:space="0"/>
            </w:tcBorders>
            <w:shd w:val="clear" w:color="auto" w:fill="auto"/>
            <w:vAlign w:val="center"/>
          </w:tcPr>
          <w:p w14:paraId="261C056C">
            <w:pPr>
              <w:keepNext w:val="0"/>
              <w:keepLines w:val="0"/>
              <w:suppressLineNumbers w:val="0"/>
              <w:spacing w:before="0" w:beforeAutospacing="0" w:after="0" w:afterAutospacing="0" w:line="440" w:lineRule="exact"/>
              <w:ind w:left="0" w:right="0"/>
              <w:jc w:val="left"/>
              <w:rPr>
                <w:rFonts w:hint="default" w:ascii="宋体" w:hAnsi="宋体" w:eastAsia="宋体" w:cs="宋体"/>
                <w:bCs/>
                <w:color w:val="auto"/>
                <w:sz w:val="21"/>
                <w:szCs w:val="21"/>
                <w:highlight w:val="none"/>
                <w:lang w:val="en-US"/>
              </w:rPr>
            </w:pPr>
            <w:r>
              <w:rPr>
                <w:rFonts w:hint="eastAsia" w:ascii="宋体" w:hAnsi="宋体" w:cs="宋体"/>
                <w:color w:val="auto"/>
                <w:kern w:val="2"/>
                <w:sz w:val="21"/>
                <w:szCs w:val="21"/>
                <w:highlight w:val="none"/>
                <w:lang w:val="en-US" w:eastAsia="zh-CN"/>
              </w:rPr>
              <w:t>1.投标人具有</w:t>
            </w:r>
            <w:r>
              <w:rPr>
                <w:rFonts w:hint="eastAsia" w:ascii="宋体" w:hAnsi="宋体" w:eastAsia="宋体" w:cs="宋体"/>
                <w:bCs/>
                <w:color w:val="auto"/>
                <w:sz w:val="21"/>
                <w:szCs w:val="21"/>
                <w:highlight w:val="none"/>
              </w:rPr>
              <w:t>有效的质量管理体系认证、环境管理体系认证、职业健康安全管理体系认证，</w:t>
            </w:r>
            <w:r>
              <w:rPr>
                <w:rFonts w:hint="eastAsia" w:ascii="宋体" w:hAnsi="宋体" w:cs="宋体"/>
                <w:bCs/>
                <w:color w:val="auto"/>
                <w:sz w:val="21"/>
                <w:szCs w:val="21"/>
                <w:highlight w:val="none"/>
                <w:lang w:val="en-US" w:eastAsia="zh-CN"/>
              </w:rPr>
              <w:t>每具有1个证书得2分</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本项满分</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提供上述证书</w:t>
            </w:r>
            <w:r>
              <w:rPr>
                <w:rFonts w:hint="eastAsia" w:ascii="宋体" w:hAnsi="宋体" w:cs="宋体"/>
                <w:color w:val="auto"/>
                <w:kern w:val="2"/>
                <w:sz w:val="21"/>
                <w:szCs w:val="21"/>
                <w:highlight w:val="none"/>
                <w:lang w:val="en-US" w:eastAsia="zh-CN"/>
              </w:rPr>
              <w:t>。</w:t>
            </w:r>
          </w:p>
          <w:p w14:paraId="7C73B739">
            <w:pPr>
              <w:keepNext w:val="0"/>
              <w:keepLines w:val="0"/>
              <w:widowControl w:val="0"/>
              <w:suppressLineNumbers w:val="0"/>
              <w:wordWrap w:val="0"/>
              <w:autoSpaceDE w:val="0"/>
              <w:autoSpaceDN/>
              <w:spacing w:before="0" w:beforeAutospacing="0" w:after="0" w:afterAutospacing="0" w:line="440" w:lineRule="exact"/>
              <w:ind w:left="0" w:right="0"/>
              <w:jc w:val="both"/>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2.投标人自2021年</w:t>
            </w:r>
            <w:r>
              <w:rPr>
                <w:rFonts w:hint="eastAsia" w:ascii="宋体" w:hAnsi="宋体" w:eastAsia="宋体" w:cs="宋体"/>
                <w:color w:val="auto"/>
                <w:kern w:val="2"/>
                <w:sz w:val="21"/>
                <w:szCs w:val="21"/>
                <w:highlight w:val="none"/>
              </w:rPr>
              <w:t>1月1日至投标文件提交截止时间前</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获得过市级及以上相关主管部门或造价行业协会颁发的“优秀企业”、“先进单位称号”荣誉称号的，每提供1个得2分，满分4分。</w:t>
            </w:r>
            <w:r>
              <w:rPr>
                <w:rFonts w:hint="eastAsia" w:ascii="宋体" w:hAnsi="宋体" w:eastAsia="宋体" w:cs="宋体"/>
                <w:color w:val="auto"/>
                <w:kern w:val="2"/>
                <w:sz w:val="21"/>
                <w:szCs w:val="21"/>
                <w:highlight w:val="none"/>
              </w:rPr>
              <w:t>电子投标文件须</w:t>
            </w:r>
            <w:r>
              <w:rPr>
                <w:rFonts w:hint="eastAsia" w:ascii="宋体" w:hAnsi="宋体" w:eastAsia="宋体" w:cs="宋体"/>
                <w:color w:val="auto"/>
                <w:kern w:val="2"/>
                <w:sz w:val="21"/>
                <w:szCs w:val="21"/>
                <w:highlight w:val="none"/>
                <w:lang w:val="en-US" w:eastAsia="zh-CN"/>
              </w:rPr>
              <w:t>提供荣誉证书或获奖证书或获奖文件。</w:t>
            </w:r>
          </w:p>
        </w:tc>
      </w:tr>
    </w:tbl>
    <w:p w14:paraId="01CAE270">
      <w:pPr>
        <w:spacing w:line="440" w:lineRule="exact"/>
        <w:ind w:firstLine="422" w:firstLineChars="200"/>
        <w:jc w:val="left"/>
        <w:rPr>
          <w:rFonts w:hint="eastAsia" w:ascii="宋体" w:hAnsi="宋体" w:cs="宋体"/>
          <w:b/>
          <w:bCs/>
          <w:color w:val="auto"/>
          <w:szCs w:val="21"/>
          <w:highlight w:val="none"/>
          <w:lang w:val="en-US" w:eastAsia="zh-CN"/>
        </w:rPr>
      </w:pPr>
    </w:p>
    <w:p w14:paraId="60627AC5">
      <w:pPr>
        <w:spacing w:line="440" w:lineRule="exact"/>
        <w:ind w:firstLine="422" w:firstLineChars="200"/>
        <w:jc w:val="left"/>
        <w:rPr>
          <w:rFonts w:hint="eastAsia" w:ascii="宋体" w:hAnsi="宋体" w:eastAsia="宋体" w:cs="宋体"/>
          <w:b/>
          <w:bCs/>
          <w:color w:val="auto"/>
          <w:szCs w:val="21"/>
        </w:rPr>
      </w:pPr>
      <w:r>
        <w:rPr>
          <w:rFonts w:hint="eastAsia" w:ascii="宋体" w:hAnsi="宋体" w:cs="宋体"/>
          <w:b/>
          <w:bCs/>
          <w:color w:val="auto"/>
          <w:szCs w:val="21"/>
          <w:lang w:val="en-US" w:eastAsia="zh-CN"/>
        </w:rPr>
        <w:t>1</w:t>
      </w:r>
      <w:r>
        <w:rPr>
          <w:rFonts w:hint="eastAsia" w:ascii="宋体" w:hAnsi="宋体" w:eastAsia="宋体" w:cs="宋体"/>
          <w:b/>
          <w:bCs/>
          <w:color w:val="auto"/>
          <w:szCs w:val="21"/>
        </w:rPr>
        <w:t>.2技术标评审细则（</w:t>
      </w:r>
      <w:r>
        <w:rPr>
          <w:rFonts w:hint="eastAsia" w:ascii="宋体" w:hAnsi="宋体" w:cs="宋体"/>
          <w:b/>
          <w:bCs/>
          <w:color w:val="auto"/>
          <w:szCs w:val="21"/>
          <w:lang w:val="en-US" w:eastAsia="zh-CN"/>
        </w:rPr>
        <w:t>20</w:t>
      </w:r>
      <w:r>
        <w:rPr>
          <w:rFonts w:hint="eastAsia" w:ascii="宋体" w:hAnsi="宋体" w:eastAsia="宋体" w:cs="宋体"/>
          <w:b/>
          <w:bCs/>
          <w:color w:val="auto"/>
          <w:szCs w:val="21"/>
        </w:rPr>
        <w:t>分）</w:t>
      </w:r>
    </w:p>
    <w:tbl>
      <w:tblPr>
        <w:tblStyle w:val="45"/>
        <w:tblW w:w="9020"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433"/>
        <w:gridCol w:w="4845"/>
        <w:gridCol w:w="2055"/>
      </w:tblGrid>
      <w:tr w14:paraId="1A2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7" w:type="dxa"/>
            <w:noWrap w:val="0"/>
            <w:vAlign w:val="center"/>
          </w:tcPr>
          <w:p w14:paraId="1A1B5FD9">
            <w:pPr>
              <w:keepNext w:val="0"/>
              <w:keepLines w:val="0"/>
              <w:suppressLineNumbers w:val="0"/>
              <w:spacing w:before="0" w:beforeAutospacing="0" w:after="0" w:afterAutospacing="0" w:line="24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433" w:type="dxa"/>
            <w:noWrap w:val="0"/>
            <w:vAlign w:val="center"/>
          </w:tcPr>
          <w:p w14:paraId="3201A923">
            <w:pPr>
              <w:keepNext w:val="0"/>
              <w:keepLines w:val="0"/>
              <w:suppressLineNumbers w:val="0"/>
              <w:spacing w:before="0" w:beforeAutospacing="0" w:after="0" w:afterAutospacing="0" w:line="240"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评分因素</w:t>
            </w:r>
          </w:p>
        </w:tc>
        <w:tc>
          <w:tcPr>
            <w:tcW w:w="4845" w:type="dxa"/>
            <w:noWrap w:val="0"/>
            <w:vAlign w:val="center"/>
          </w:tcPr>
          <w:p w14:paraId="09EA9810">
            <w:pPr>
              <w:keepNext w:val="0"/>
              <w:keepLines w:val="0"/>
              <w:suppressLineNumbers w:val="0"/>
              <w:spacing w:before="0" w:beforeAutospacing="0" w:after="0" w:afterAutospacing="0" w:line="24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评审细则</w:t>
            </w:r>
          </w:p>
        </w:tc>
        <w:tc>
          <w:tcPr>
            <w:tcW w:w="2055" w:type="dxa"/>
            <w:noWrap w:val="0"/>
            <w:vAlign w:val="center"/>
          </w:tcPr>
          <w:p w14:paraId="66415DBF">
            <w:pPr>
              <w:keepNext w:val="0"/>
              <w:keepLines w:val="0"/>
              <w:suppressLineNumbers w:val="0"/>
              <w:spacing w:before="0" w:beforeAutospacing="0" w:after="0" w:afterAutospacing="0" w:line="240" w:lineRule="auto"/>
              <w:ind w:left="0" w:right="0"/>
              <w:jc w:val="center"/>
              <w:rPr>
                <w:rFonts w:hint="eastAsia" w:ascii="宋体" w:hAnsi="宋体" w:cs="宋体"/>
                <w:color w:val="auto"/>
                <w:sz w:val="21"/>
                <w:szCs w:val="21"/>
                <w:highlight w:val="none"/>
              </w:rPr>
            </w:pPr>
            <w:r>
              <w:rPr>
                <w:rFonts w:hint="eastAsia" w:hAnsi="宋体"/>
                <w:color w:val="auto"/>
                <w:sz w:val="21"/>
                <w:szCs w:val="21"/>
                <w:highlight w:val="none"/>
              </w:rPr>
              <w:t>须提供的证明材料</w:t>
            </w:r>
          </w:p>
        </w:tc>
      </w:tr>
      <w:tr w14:paraId="0C65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7" w:type="dxa"/>
            <w:noWrap w:val="0"/>
            <w:vAlign w:val="center"/>
          </w:tcPr>
          <w:p w14:paraId="51C02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433" w:type="dxa"/>
            <w:noWrap w:val="0"/>
            <w:vAlign w:val="center"/>
          </w:tcPr>
          <w:p w14:paraId="65AB5FAE">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eastAsia="宋体"/>
                <w:color w:val="auto"/>
                <w:lang w:val="en-US" w:eastAsia="zh-CN"/>
              </w:rPr>
              <w:t>造价</w:t>
            </w:r>
            <w:r>
              <w:rPr>
                <w:rFonts w:hint="default" w:eastAsia="宋体"/>
                <w:color w:val="auto"/>
              </w:rPr>
              <w:t>工作质量及进度的保证措施</w:t>
            </w:r>
            <w:r>
              <w:rPr>
                <w:rFonts w:hint="eastAsia" w:eastAsia="宋体"/>
                <w:color w:val="auto"/>
                <w:lang w:val="en-US" w:eastAsia="zh-CN"/>
              </w:rPr>
              <w:t>方案</w:t>
            </w:r>
          </w:p>
        </w:tc>
        <w:tc>
          <w:tcPr>
            <w:tcW w:w="4845" w:type="dxa"/>
            <w:noWrap w:val="0"/>
            <w:vAlign w:val="center"/>
          </w:tcPr>
          <w:p w14:paraId="61AFC17D">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评标委员会根据各投标人所提供服务方案进行横向对比评审：</w:t>
            </w:r>
          </w:p>
          <w:p w14:paraId="03F587B1">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①方案内容完整全面、针对性强、措施明确的得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eastAsia="zh-CN"/>
              </w:rPr>
              <w:t xml:space="preserve">分； </w:t>
            </w:r>
          </w:p>
          <w:p w14:paraId="49DC4A0B">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 xml:space="preserve">②方案内容较完整全面、针对性较强、措施较明确的得 </w:t>
            </w: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eastAsia="zh-CN"/>
              </w:rPr>
              <w:t xml:space="preserve">分； </w:t>
            </w:r>
          </w:p>
          <w:p w14:paraId="2AA15E27">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zh-CN" w:eastAsia="zh-CN"/>
              </w:rPr>
              <w:t>③方案内容一般、针对性一般、措施一般的得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eastAsia="zh-CN"/>
              </w:rPr>
              <w:t>分；</w:t>
            </w: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lang w:val="zh-CN" w:eastAsia="zh-CN"/>
              </w:rPr>
              <w:t xml:space="preserve">未提供此内容得 0 分。 </w:t>
            </w:r>
          </w:p>
        </w:tc>
        <w:tc>
          <w:tcPr>
            <w:tcW w:w="2055" w:type="dxa"/>
            <w:noWrap w:val="0"/>
            <w:vAlign w:val="center"/>
          </w:tcPr>
          <w:p w14:paraId="186019DB">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评审核验电子</w:t>
            </w:r>
            <w:r>
              <w:rPr>
                <w:rFonts w:hint="eastAsia" w:hAnsi="宋体"/>
                <w:color w:val="auto"/>
                <w:sz w:val="21"/>
                <w:szCs w:val="21"/>
                <w:highlight w:val="none"/>
                <w:lang w:val="en-US" w:eastAsia="zh-CN"/>
              </w:rPr>
              <w:t>投标文件</w:t>
            </w:r>
            <w:r>
              <w:rPr>
                <w:rFonts w:hint="eastAsia" w:hAnsi="宋体"/>
                <w:color w:val="auto"/>
                <w:sz w:val="21"/>
                <w:szCs w:val="21"/>
                <w:highlight w:val="none"/>
              </w:rPr>
              <w:t>：</w:t>
            </w:r>
          </w:p>
          <w:p w14:paraId="74165804">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技术标中须能充分有效反映出本评分项内容</w:t>
            </w:r>
          </w:p>
        </w:tc>
      </w:tr>
      <w:tr w14:paraId="4437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7" w:type="dxa"/>
            <w:noWrap w:val="0"/>
            <w:vAlign w:val="center"/>
          </w:tcPr>
          <w:p w14:paraId="63C227A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33" w:type="dxa"/>
            <w:noWrap w:val="0"/>
            <w:vAlign w:val="center"/>
          </w:tcPr>
          <w:p w14:paraId="1830ED39">
            <w:pPr>
              <w:keepNext w:val="0"/>
              <w:keepLines w:val="0"/>
              <w:suppressLineNumbers w:val="0"/>
              <w:spacing w:before="0" w:beforeAutospacing="0" w:after="0" w:afterAutospacing="0" w:line="240" w:lineRule="auto"/>
              <w:ind w:left="0" w:right="0"/>
              <w:rPr>
                <w:rFonts w:hint="default" w:ascii="宋体" w:hAnsi="宋体" w:cs="宋体"/>
                <w:color w:val="auto"/>
                <w:sz w:val="21"/>
                <w:szCs w:val="21"/>
                <w:highlight w:val="none"/>
                <w:lang w:val="en-US"/>
              </w:rPr>
            </w:pPr>
            <w:r>
              <w:rPr>
                <w:rFonts w:hint="eastAsia" w:eastAsia="宋体"/>
                <w:color w:val="auto"/>
                <w:lang w:val="en-US" w:eastAsia="zh-CN"/>
              </w:rPr>
              <w:t>造价工作</w:t>
            </w:r>
            <w:r>
              <w:rPr>
                <w:rFonts w:hint="eastAsia" w:ascii="宋体" w:hAnsi="宋体" w:eastAsia="宋体" w:cs="宋体"/>
                <w:color w:val="auto"/>
                <w:kern w:val="2"/>
                <w:sz w:val="21"/>
                <w:szCs w:val="21"/>
                <w:highlight w:val="none"/>
                <w:lang w:val="zh-CN" w:eastAsia="zh-CN"/>
              </w:rPr>
              <w:t>组织管理</w:t>
            </w:r>
            <w:r>
              <w:rPr>
                <w:rFonts w:hint="eastAsia" w:ascii="宋体" w:hAnsi="宋体" w:eastAsia="宋体" w:cs="宋体"/>
                <w:color w:val="auto"/>
                <w:kern w:val="2"/>
                <w:sz w:val="21"/>
                <w:szCs w:val="21"/>
                <w:highlight w:val="none"/>
                <w:lang w:val="en-US" w:eastAsia="zh-CN"/>
              </w:rPr>
              <w:t>方案</w:t>
            </w:r>
          </w:p>
        </w:tc>
        <w:tc>
          <w:tcPr>
            <w:tcW w:w="4845" w:type="dxa"/>
            <w:noWrap w:val="0"/>
            <w:vAlign w:val="center"/>
          </w:tcPr>
          <w:p w14:paraId="78932816">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评标委员会根据各投标人所提供服务方案进行横向对比评审：</w:t>
            </w:r>
          </w:p>
          <w:p w14:paraId="68EE24B1">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①方案内容完整全面、针对性强、措施明确的得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eastAsia="zh-CN"/>
              </w:rPr>
              <w:t xml:space="preserve">分； </w:t>
            </w:r>
          </w:p>
          <w:p w14:paraId="0153B49A">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 xml:space="preserve">②方案内容较完整全面、针对性较强、措施较明确的得 </w:t>
            </w: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eastAsia="zh-CN"/>
              </w:rPr>
              <w:t xml:space="preserve">分； </w:t>
            </w:r>
          </w:p>
          <w:p w14:paraId="38487A36">
            <w:pPr>
              <w:keepNext w:val="0"/>
              <w:keepLines w:val="0"/>
              <w:suppressLineNumbers w:val="0"/>
              <w:spacing w:before="0" w:beforeAutospacing="0" w:after="0" w:afterAutospacing="0" w:line="240" w:lineRule="auto"/>
              <w:ind w:left="0" w:right="0"/>
              <w:jc w:val="left"/>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zh-CN" w:eastAsia="zh-CN"/>
              </w:rPr>
              <w:t>③方案内容一般、针对性一般、措施一般的得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eastAsia="zh-CN"/>
              </w:rPr>
              <w:t>分；</w:t>
            </w: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lang w:val="zh-CN" w:eastAsia="zh-CN"/>
              </w:rPr>
              <w:t xml:space="preserve">未提供此内容得 0 分。 </w:t>
            </w:r>
          </w:p>
        </w:tc>
        <w:tc>
          <w:tcPr>
            <w:tcW w:w="2055" w:type="dxa"/>
            <w:noWrap w:val="0"/>
            <w:vAlign w:val="center"/>
          </w:tcPr>
          <w:p w14:paraId="0011EB93">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评审核验电子</w:t>
            </w:r>
            <w:r>
              <w:rPr>
                <w:rFonts w:hint="eastAsia" w:hAnsi="宋体"/>
                <w:color w:val="auto"/>
                <w:sz w:val="21"/>
                <w:szCs w:val="21"/>
                <w:highlight w:val="none"/>
                <w:lang w:val="en-US" w:eastAsia="zh-CN"/>
              </w:rPr>
              <w:t>投标文件</w:t>
            </w:r>
            <w:r>
              <w:rPr>
                <w:rFonts w:hint="eastAsia" w:hAnsi="宋体"/>
                <w:color w:val="auto"/>
                <w:sz w:val="21"/>
                <w:szCs w:val="21"/>
                <w:highlight w:val="none"/>
              </w:rPr>
              <w:t>：</w:t>
            </w:r>
          </w:p>
          <w:p w14:paraId="4A8DAD2D">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技术标中须能充分有效反映出本评分项内容</w:t>
            </w:r>
          </w:p>
        </w:tc>
      </w:tr>
      <w:tr w14:paraId="7144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7" w:type="dxa"/>
            <w:noWrap w:val="0"/>
            <w:vAlign w:val="center"/>
          </w:tcPr>
          <w:p w14:paraId="10EC2C1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33" w:type="dxa"/>
            <w:noWrap w:val="0"/>
            <w:vAlign w:val="center"/>
          </w:tcPr>
          <w:p w14:paraId="0BF5665D">
            <w:pPr>
              <w:keepNext w:val="0"/>
              <w:keepLines w:val="0"/>
              <w:suppressLineNumbers w:val="0"/>
              <w:spacing w:before="0" w:beforeAutospacing="0" w:after="0" w:afterAutospacing="0" w:line="240" w:lineRule="auto"/>
              <w:ind w:left="0" w:right="0"/>
              <w:rPr>
                <w:rFonts w:hint="eastAsia" w:ascii="宋体" w:hAnsi="宋体" w:cs="宋体"/>
                <w:color w:val="auto"/>
                <w:sz w:val="21"/>
                <w:szCs w:val="21"/>
                <w:highlight w:val="none"/>
              </w:rPr>
            </w:pPr>
            <w:r>
              <w:rPr>
                <w:rFonts w:hint="eastAsia" w:eastAsia="宋体"/>
                <w:color w:val="auto"/>
                <w:lang w:val="en-US" w:eastAsia="zh-CN"/>
              </w:rPr>
              <w:t>造价工作</w:t>
            </w:r>
            <w:r>
              <w:rPr>
                <w:rFonts w:hint="eastAsia" w:ascii="宋体" w:hAnsi="宋体" w:eastAsia="宋体" w:cs="宋体"/>
                <w:color w:val="auto"/>
                <w:kern w:val="2"/>
                <w:sz w:val="21"/>
                <w:szCs w:val="21"/>
                <w:highlight w:val="none"/>
                <w:lang w:val="zh-CN" w:eastAsia="zh-CN"/>
              </w:rPr>
              <w:t>档案管理</w:t>
            </w:r>
            <w:r>
              <w:rPr>
                <w:rFonts w:hint="eastAsia" w:ascii="宋体" w:hAnsi="宋体" w:eastAsia="宋体" w:cs="宋体"/>
                <w:color w:val="auto"/>
                <w:kern w:val="2"/>
                <w:sz w:val="21"/>
                <w:szCs w:val="21"/>
                <w:highlight w:val="none"/>
                <w:lang w:val="en-US" w:eastAsia="zh-CN"/>
              </w:rPr>
              <w:t>方案</w:t>
            </w:r>
          </w:p>
        </w:tc>
        <w:tc>
          <w:tcPr>
            <w:tcW w:w="4845" w:type="dxa"/>
            <w:noWrap w:val="0"/>
            <w:vAlign w:val="center"/>
          </w:tcPr>
          <w:p w14:paraId="3F7D3478">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评标委员会根据各投标人所提供服务方案进行横向对比评审：</w:t>
            </w:r>
          </w:p>
          <w:p w14:paraId="286F6776">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①方案内容完整全面、针对性强、措施明确的得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eastAsia="zh-CN"/>
              </w:rPr>
              <w:t xml:space="preserve">分； </w:t>
            </w:r>
          </w:p>
          <w:p w14:paraId="59C43190">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 xml:space="preserve">②方案内容较完整全面、针对性较强、措施较明确的得 </w:t>
            </w: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eastAsia="zh-CN"/>
              </w:rPr>
              <w:t xml:space="preserve">分； </w:t>
            </w:r>
          </w:p>
          <w:p w14:paraId="367D9234">
            <w:pPr>
              <w:keepNext w:val="0"/>
              <w:keepLines w:val="0"/>
              <w:suppressLineNumbers w:val="0"/>
              <w:spacing w:before="0" w:beforeAutospacing="0" w:after="0" w:afterAutospacing="0" w:line="240" w:lineRule="auto"/>
              <w:ind w:left="0" w:right="0"/>
              <w:jc w:val="left"/>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zh-CN" w:eastAsia="zh-CN"/>
              </w:rPr>
              <w:t>③方案内容一般、针对性一般、措施一般的得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eastAsia="zh-CN"/>
              </w:rPr>
              <w:t>分；</w:t>
            </w: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lang w:val="zh-CN" w:eastAsia="zh-CN"/>
              </w:rPr>
              <w:t xml:space="preserve">未提供此内容得 0 分。 </w:t>
            </w:r>
          </w:p>
        </w:tc>
        <w:tc>
          <w:tcPr>
            <w:tcW w:w="2055" w:type="dxa"/>
            <w:noWrap w:val="0"/>
            <w:vAlign w:val="center"/>
          </w:tcPr>
          <w:p w14:paraId="6BA20141">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评审核验电子</w:t>
            </w:r>
            <w:r>
              <w:rPr>
                <w:rFonts w:hint="eastAsia" w:hAnsi="宋体"/>
                <w:color w:val="auto"/>
                <w:sz w:val="21"/>
                <w:szCs w:val="21"/>
                <w:highlight w:val="none"/>
                <w:lang w:val="en-US" w:eastAsia="zh-CN"/>
              </w:rPr>
              <w:t>投标文件</w:t>
            </w:r>
            <w:r>
              <w:rPr>
                <w:rFonts w:hint="eastAsia" w:hAnsi="宋体"/>
                <w:color w:val="auto"/>
                <w:sz w:val="21"/>
                <w:szCs w:val="21"/>
                <w:highlight w:val="none"/>
              </w:rPr>
              <w:t>：</w:t>
            </w:r>
          </w:p>
          <w:p w14:paraId="536602D3">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技术标中须能充分有效反映出本评分项内容</w:t>
            </w:r>
          </w:p>
        </w:tc>
      </w:tr>
      <w:tr w14:paraId="2355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7" w:type="dxa"/>
            <w:noWrap w:val="0"/>
            <w:vAlign w:val="center"/>
          </w:tcPr>
          <w:p w14:paraId="0317C61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433" w:type="dxa"/>
            <w:noWrap w:val="0"/>
            <w:vAlign w:val="center"/>
          </w:tcPr>
          <w:p w14:paraId="0DD3917D">
            <w:pPr>
              <w:keepNext w:val="0"/>
              <w:keepLines w:val="0"/>
              <w:suppressLineNumbers w:val="0"/>
              <w:spacing w:before="0" w:beforeAutospacing="0" w:after="0" w:afterAutospacing="0" w:line="240" w:lineRule="auto"/>
              <w:ind w:left="0" w:right="0"/>
              <w:rPr>
                <w:rFonts w:hint="eastAsia" w:ascii="宋体" w:hAnsi="宋体" w:cs="宋体"/>
                <w:color w:val="auto"/>
                <w:sz w:val="21"/>
                <w:szCs w:val="21"/>
                <w:highlight w:val="none"/>
              </w:rPr>
            </w:pPr>
            <w:r>
              <w:rPr>
                <w:rFonts w:hint="eastAsia" w:ascii="宋体" w:hAnsi="宋体" w:cs="宋体"/>
                <w:color w:val="auto"/>
                <w:kern w:val="2"/>
                <w:sz w:val="21"/>
                <w:szCs w:val="21"/>
                <w:highlight w:val="none"/>
                <w:lang w:val="en-US" w:eastAsia="zh-CN"/>
              </w:rPr>
              <w:t>针对本项目提出</w:t>
            </w:r>
            <w:r>
              <w:rPr>
                <w:rFonts w:hint="eastAsia" w:ascii="宋体" w:hAnsi="宋体" w:eastAsia="宋体" w:cs="宋体"/>
                <w:color w:val="auto"/>
                <w:kern w:val="2"/>
                <w:sz w:val="21"/>
                <w:szCs w:val="21"/>
                <w:highlight w:val="none"/>
                <w:lang w:val="zh-CN" w:eastAsia="zh-CN"/>
              </w:rPr>
              <w:t>合理化建议</w:t>
            </w:r>
          </w:p>
        </w:tc>
        <w:tc>
          <w:tcPr>
            <w:tcW w:w="4845" w:type="dxa"/>
            <w:noWrap w:val="0"/>
            <w:vAlign w:val="center"/>
          </w:tcPr>
          <w:p w14:paraId="161BEB04">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评标委员会根据各投标人所提供服务方案进行横向对比评审：</w:t>
            </w:r>
          </w:p>
          <w:p w14:paraId="78A735EC">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①方案内容完整全面、针对性强、措施明确的得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eastAsia="zh-CN"/>
              </w:rPr>
              <w:t xml:space="preserve">分； </w:t>
            </w:r>
          </w:p>
          <w:p w14:paraId="7CFA5533">
            <w:pPr>
              <w:keepNext w:val="0"/>
              <w:keepLines w:val="0"/>
              <w:widowControl w:val="0"/>
              <w:suppressLineNumbers w:val="0"/>
              <w:wordWrap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 xml:space="preserve">②方案内容较完整全面、针对性较强、措施较明确的得 </w:t>
            </w: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lang w:val="zh-CN" w:eastAsia="zh-CN"/>
              </w:rPr>
              <w:t xml:space="preserve">分； </w:t>
            </w:r>
          </w:p>
          <w:p w14:paraId="452B37D1">
            <w:pPr>
              <w:keepNext w:val="0"/>
              <w:keepLines w:val="0"/>
              <w:suppressLineNumbers w:val="0"/>
              <w:spacing w:before="0" w:beforeAutospacing="0" w:after="0" w:afterAutospacing="0" w:line="240" w:lineRule="auto"/>
              <w:ind w:left="0" w:right="0"/>
              <w:jc w:val="left"/>
              <w:rPr>
                <w:rFonts w:hint="eastAsia" w:ascii="宋体" w:hAnsi="宋体" w:cs="宋体"/>
                <w:color w:val="auto"/>
                <w:sz w:val="21"/>
                <w:szCs w:val="21"/>
                <w:highlight w:val="none"/>
              </w:rPr>
            </w:pPr>
            <w:r>
              <w:rPr>
                <w:rFonts w:hint="eastAsia" w:ascii="宋体" w:hAnsi="宋体" w:eastAsia="宋体" w:cs="宋体"/>
                <w:color w:val="auto"/>
                <w:kern w:val="2"/>
                <w:sz w:val="21"/>
                <w:szCs w:val="21"/>
                <w:highlight w:val="none"/>
                <w:lang w:val="zh-CN" w:eastAsia="zh-CN"/>
              </w:rPr>
              <w:t>③方案内容一般、针对性一般、措施一般的得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eastAsia="zh-CN"/>
              </w:rPr>
              <w:t>分；</w:t>
            </w:r>
            <w:r>
              <w:rPr>
                <w:rFonts w:hint="eastAsia" w:ascii="宋体" w:hAnsi="宋体" w:eastAsia="宋体" w:cs="宋体"/>
                <w:color w:val="auto"/>
                <w:kern w:val="2"/>
                <w:sz w:val="21"/>
                <w:szCs w:val="21"/>
                <w:highlight w:val="none"/>
                <w:lang w:val="en-US" w:eastAsia="zh-CN"/>
              </w:rPr>
              <w:t>④</w:t>
            </w:r>
            <w:r>
              <w:rPr>
                <w:rFonts w:hint="eastAsia" w:ascii="宋体" w:hAnsi="宋体" w:eastAsia="宋体" w:cs="宋体"/>
                <w:color w:val="auto"/>
                <w:kern w:val="2"/>
                <w:sz w:val="21"/>
                <w:szCs w:val="21"/>
                <w:highlight w:val="none"/>
                <w:lang w:val="zh-CN" w:eastAsia="zh-CN"/>
              </w:rPr>
              <w:t xml:space="preserve">未提供此内容得 0 分。 </w:t>
            </w:r>
          </w:p>
        </w:tc>
        <w:tc>
          <w:tcPr>
            <w:tcW w:w="2055" w:type="dxa"/>
            <w:noWrap w:val="0"/>
            <w:vAlign w:val="center"/>
          </w:tcPr>
          <w:p w14:paraId="1DD1DBD1">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评审核验电子</w:t>
            </w:r>
            <w:r>
              <w:rPr>
                <w:rFonts w:hint="eastAsia" w:hAnsi="宋体"/>
                <w:color w:val="auto"/>
                <w:sz w:val="21"/>
                <w:szCs w:val="21"/>
                <w:highlight w:val="none"/>
                <w:lang w:val="en-US" w:eastAsia="zh-CN"/>
              </w:rPr>
              <w:t>投标文件</w:t>
            </w:r>
            <w:r>
              <w:rPr>
                <w:rFonts w:hint="eastAsia" w:hAnsi="宋体"/>
                <w:color w:val="auto"/>
                <w:sz w:val="21"/>
                <w:szCs w:val="21"/>
                <w:highlight w:val="none"/>
              </w:rPr>
              <w:t>：</w:t>
            </w:r>
          </w:p>
          <w:p w14:paraId="729A0A9F">
            <w:pPr>
              <w:keepNext w:val="0"/>
              <w:keepLines w:val="0"/>
              <w:suppressLineNumbers w:val="0"/>
              <w:spacing w:before="0" w:beforeAutospacing="0" w:after="0" w:afterAutospacing="0" w:line="240" w:lineRule="auto"/>
              <w:ind w:left="0" w:right="0"/>
              <w:jc w:val="center"/>
              <w:rPr>
                <w:rFonts w:hint="eastAsia" w:hAnsi="宋体"/>
                <w:color w:val="auto"/>
                <w:sz w:val="21"/>
                <w:szCs w:val="21"/>
                <w:highlight w:val="none"/>
              </w:rPr>
            </w:pPr>
            <w:r>
              <w:rPr>
                <w:rFonts w:hint="eastAsia" w:hAnsi="宋体"/>
                <w:color w:val="auto"/>
                <w:sz w:val="21"/>
                <w:szCs w:val="21"/>
                <w:highlight w:val="none"/>
              </w:rPr>
              <w:t>技术标中须能充分有效反映出本评分项内容</w:t>
            </w:r>
          </w:p>
        </w:tc>
      </w:tr>
    </w:tbl>
    <w:p w14:paraId="160A92BF">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b/>
          <w:color w:val="auto"/>
          <w:sz w:val="21"/>
          <w:szCs w:val="21"/>
          <w:highlight w:val="none"/>
          <w:lang w:val="en-US" w:eastAsia="zh-CN"/>
        </w:rPr>
      </w:pPr>
      <w:r>
        <w:rPr>
          <w:rFonts w:hint="eastAsia" w:ascii="宋体" w:hAnsi="宋体"/>
          <w:b/>
          <w:color w:val="auto"/>
          <w:sz w:val="21"/>
          <w:szCs w:val="21"/>
          <w:highlight w:val="none"/>
          <w:lang w:val="en-US" w:eastAsia="zh-CN"/>
        </w:rPr>
        <w:t>注：各投标人技术标总得分为各评委评分的平均值为最终得分。取两位小数，小数点后第三位四舍五入。</w:t>
      </w:r>
    </w:p>
    <w:p w14:paraId="5D4DF09B">
      <w:pPr>
        <w:spacing w:line="44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1.3</w:t>
      </w:r>
      <w:r>
        <w:rPr>
          <w:rFonts w:hint="eastAsia" w:ascii="宋体" w:hAnsi="宋体" w:eastAsia="宋体" w:cs="宋体"/>
          <w:b/>
          <w:bCs/>
          <w:color w:val="auto"/>
          <w:szCs w:val="21"/>
        </w:rPr>
        <w:t>商务标评审细则（</w:t>
      </w:r>
      <w:r>
        <w:rPr>
          <w:rFonts w:hint="eastAsia" w:ascii="宋体" w:hAnsi="宋体" w:cs="宋体"/>
          <w:b/>
          <w:bCs/>
          <w:color w:val="auto"/>
          <w:szCs w:val="21"/>
          <w:lang w:val="en-US" w:eastAsia="zh-CN"/>
        </w:rPr>
        <w:t>40</w:t>
      </w:r>
      <w:r>
        <w:rPr>
          <w:rFonts w:hint="eastAsia" w:ascii="宋体" w:hAnsi="宋体" w:eastAsia="宋体" w:cs="宋体"/>
          <w:b/>
          <w:bCs/>
          <w:color w:val="auto"/>
          <w:szCs w:val="21"/>
        </w:rPr>
        <w:t>分）</w:t>
      </w:r>
    </w:p>
    <w:tbl>
      <w:tblPr>
        <w:tblStyle w:val="45"/>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65"/>
        <w:gridCol w:w="6855"/>
      </w:tblGrid>
      <w:tr w14:paraId="4EC0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C98CA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65" w:type="dxa"/>
            <w:noWrap w:val="0"/>
            <w:vAlign w:val="center"/>
          </w:tcPr>
          <w:p w14:paraId="3FA9EF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6855" w:type="dxa"/>
            <w:noWrap w:val="0"/>
            <w:vAlign w:val="center"/>
          </w:tcPr>
          <w:p w14:paraId="333A4C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r>
      <w:tr w14:paraId="490D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80" w:type="dxa"/>
            <w:noWrap w:val="0"/>
            <w:vAlign w:val="center"/>
          </w:tcPr>
          <w:p w14:paraId="1E6CB4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365" w:type="dxa"/>
            <w:noWrap w:val="0"/>
            <w:vAlign w:val="center"/>
          </w:tcPr>
          <w:p w14:paraId="04380A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报价</w:t>
            </w:r>
          </w:p>
          <w:p w14:paraId="32CB8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6855" w:type="dxa"/>
            <w:noWrap w:val="0"/>
            <w:vAlign w:val="center"/>
          </w:tcPr>
          <w:p w14:paraId="23FD49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1</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招标人设置投标报价最高限价，各投标人有效报价不得高于最高限价，否则，其投标文件按无效标处理；</w:t>
            </w:r>
          </w:p>
          <w:p w14:paraId="42F343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2</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评标基准值为B</w:t>
            </w:r>
            <w:r>
              <w:rPr>
                <w:rFonts w:hint="eastAsia" w:cs="宋体"/>
                <w:b w:val="0"/>
                <w:bCs/>
                <w:color w:val="auto"/>
                <w:sz w:val="21"/>
                <w:szCs w:val="21"/>
                <w:highlight w:val="none"/>
                <w:lang w:eastAsia="zh-CN"/>
              </w:rPr>
              <w:t>，</w:t>
            </w:r>
            <w:r>
              <w:rPr>
                <w:rFonts w:hint="eastAsia" w:ascii="宋体" w:hAnsi="宋体" w:cs="宋体"/>
                <w:color w:val="auto"/>
                <w:szCs w:val="21"/>
                <w:highlight w:val="none"/>
              </w:rPr>
              <w:t>B为通过资信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及商务评审，且资信得分大于等于所有有效投标人资信</w:t>
            </w:r>
            <w:r>
              <w:rPr>
                <w:rFonts w:hint="eastAsia" w:ascii="宋体" w:hAnsi="宋体" w:cs="宋体"/>
                <w:color w:val="auto"/>
                <w:szCs w:val="21"/>
                <w:highlight w:val="none"/>
                <w:lang w:val="en-US" w:eastAsia="zh-CN"/>
              </w:rPr>
              <w:t>得分</w:t>
            </w:r>
            <w:r>
              <w:rPr>
                <w:rFonts w:hint="eastAsia" w:ascii="宋体" w:hAnsi="宋体" w:cs="宋体"/>
                <w:color w:val="auto"/>
                <w:szCs w:val="21"/>
                <w:highlight w:val="none"/>
              </w:rPr>
              <w:t>算术平均值</w:t>
            </w:r>
            <w:r>
              <w:rPr>
                <w:rFonts w:hint="eastAsia" w:ascii="宋体" w:hAnsi="宋体" w:cs="宋体"/>
                <w:color w:val="auto"/>
                <w:szCs w:val="21"/>
                <w:highlight w:val="none"/>
                <w:lang w:val="en-US" w:eastAsia="zh-CN"/>
              </w:rPr>
              <w:t>的算术平均值</w:t>
            </w:r>
            <w:r>
              <w:rPr>
                <w:rFonts w:hint="eastAsia" w:ascii="宋体" w:hAnsi="宋体" w:cs="宋体"/>
                <w:color w:val="auto"/>
                <w:szCs w:val="21"/>
                <w:highlight w:val="none"/>
              </w:rPr>
              <w:t>。</w:t>
            </w:r>
          </w:p>
          <w:p w14:paraId="6A7B23C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3</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各有效投标人的投标报价（费率）与评标基准值B相比，相同的得</w:t>
            </w:r>
            <w:r>
              <w:rPr>
                <w:rFonts w:hint="eastAsia" w:cs="宋体"/>
                <w:b w:val="0"/>
                <w:bCs/>
                <w:color w:val="auto"/>
                <w:sz w:val="21"/>
                <w:szCs w:val="21"/>
                <w:highlight w:val="none"/>
                <w:lang w:val="en-US" w:eastAsia="zh-CN"/>
              </w:rPr>
              <w:t>满分</w:t>
            </w:r>
            <w:r>
              <w:rPr>
                <w:rFonts w:hint="eastAsia" w:ascii="Times New Roman" w:hAnsi="Times New Roman" w:eastAsia="宋体" w:cs="宋体"/>
                <w:b w:val="0"/>
                <w:bCs/>
                <w:color w:val="auto"/>
                <w:sz w:val="21"/>
                <w:szCs w:val="21"/>
                <w:highlight w:val="none"/>
              </w:rPr>
              <w:t>，每增加1%扣</w:t>
            </w:r>
            <w:r>
              <w:rPr>
                <w:rFonts w:hint="eastAsia" w:cs="宋体"/>
                <w:b w:val="0"/>
                <w:bCs/>
                <w:color w:val="auto"/>
                <w:sz w:val="21"/>
                <w:szCs w:val="21"/>
                <w:highlight w:val="none"/>
                <w:lang w:val="en-US" w:eastAsia="zh-CN"/>
              </w:rPr>
              <w:t>0.5</w:t>
            </w:r>
            <w:r>
              <w:rPr>
                <w:rFonts w:hint="eastAsia" w:ascii="Times New Roman" w:hAnsi="Times New Roman" w:eastAsia="宋体" w:cs="宋体"/>
                <w:b w:val="0"/>
                <w:bCs/>
                <w:color w:val="auto"/>
                <w:sz w:val="21"/>
                <w:szCs w:val="21"/>
                <w:highlight w:val="none"/>
              </w:rPr>
              <w:t>分，每减少1%扣0.</w:t>
            </w:r>
            <w:r>
              <w:rPr>
                <w:rFonts w:hint="eastAsia" w:cs="宋体"/>
                <w:b w:val="0"/>
                <w:bCs/>
                <w:color w:val="auto"/>
                <w:sz w:val="21"/>
                <w:szCs w:val="21"/>
                <w:highlight w:val="none"/>
                <w:lang w:val="en-US" w:eastAsia="zh-CN"/>
              </w:rPr>
              <w:t>2</w:t>
            </w:r>
            <w:r>
              <w:rPr>
                <w:rFonts w:hint="eastAsia" w:ascii="Times New Roman" w:hAnsi="Times New Roman" w:eastAsia="宋体"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分；不足1%时按插入法计算，百分数取两位小数，小数点后第三位四舍五入。</w:t>
            </w:r>
          </w:p>
          <w:p w14:paraId="235731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4</w:t>
            </w:r>
            <w:r>
              <w:rPr>
                <w:rFonts w:hint="eastAsia" w:cs="宋体"/>
                <w:b w:val="0"/>
                <w:bCs/>
                <w:color w:val="auto"/>
                <w:sz w:val="21"/>
                <w:szCs w:val="21"/>
                <w:highlight w:val="none"/>
                <w:lang w:val="en-US" w:eastAsia="zh-CN"/>
              </w:rPr>
              <w:t>.</w:t>
            </w:r>
            <w:r>
              <w:rPr>
                <w:rFonts w:hint="eastAsia" w:ascii="Times New Roman" w:hAnsi="Times New Roman" w:eastAsia="宋体" w:cs="宋体"/>
                <w:b w:val="0"/>
                <w:bCs/>
                <w:color w:val="auto"/>
                <w:sz w:val="21"/>
                <w:szCs w:val="21"/>
                <w:highlight w:val="none"/>
              </w:rPr>
              <w:t>本项分值由招标代理机构负责组织计算，报评标委员会进行审核。</w:t>
            </w:r>
          </w:p>
          <w:p w14:paraId="261C3B6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例如：评标基准值B为</w:t>
            </w:r>
            <w:r>
              <w:rPr>
                <w:rFonts w:hint="eastAsia" w:cs="宋体"/>
                <w:b w:val="0"/>
                <w:bCs/>
                <w:color w:val="auto"/>
                <w:sz w:val="21"/>
                <w:szCs w:val="21"/>
                <w:highlight w:val="none"/>
                <w:lang w:val="en-US" w:eastAsia="zh-CN"/>
              </w:rPr>
              <w:t>30%</w:t>
            </w:r>
            <w:r>
              <w:rPr>
                <w:rFonts w:hint="eastAsia" w:ascii="Times New Roman" w:hAnsi="Times New Roman" w:eastAsia="宋体" w:cs="宋体"/>
                <w:b w:val="0"/>
                <w:bCs/>
                <w:color w:val="auto"/>
                <w:sz w:val="21"/>
                <w:szCs w:val="21"/>
                <w:highlight w:val="none"/>
              </w:rPr>
              <w:t>，投标人甲的报价为</w:t>
            </w:r>
            <w:r>
              <w:rPr>
                <w:rFonts w:hint="eastAsia" w:cs="宋体"/>
                <w:b w:val="0"/>
                <w:bCs/>
                <w:color w:val="auto"/>
                <w:sz w:val="21"/>
                <w:szCs w:val="21"/>
                <w:highlight w:val="none"/>
                <w:lang w:val="en-US" w:eastAsia="zh-CN"/>
              </w:rPr>
              <w:t>37%</w:t>
            </w:r>
            <w:r>
              <w:rPr>
                <w:rFonts w:hint="eastAsia" w:ascii="Times New Roman" w:hAnsi="Times New Roman" w:eastAsia="宋体" w:cs="宋体"/>
                <w:b w:val="0"/>
                <w:bCs/>
                <w:color w:val="auto"/>
                <w:sz w:val="21"/>
                <w:szCs w:val="21"/>
                <w:highlight w:val="none"/>
              </w:rPr>
              <w:t>‰、投标人乙的报价为</w:t>
            </w:r>
            <w:r>
              <w:rPr>
                <w:rFonts w:hint="eastAsia" w:cs="宋体"/>
                <w:b w:val="0"/>
                <w:bCs/>
                <w:color w:val="auto"/>
                <w:sz w:val="21"/>
                <w:szCs w:val="21"/>
                <w:highlight w:val="none"/>
                <w:lang w:val="en-US" w:eastAsia="zh-CN"/>
              </w:rPr>
              <w:t>25</w:t>
            </w:r>
            <w:r>
              <w:rPr>
                <w:rFonts w:hint="eastAsia" w:ascii="Times New Roman" w:hAnsi="Times New Roman" w:eastAsia="宋体" w:cs="宋体"/>
                <w:b w:val="0"/>
                <w:bCs/>
                <w:color w:val="auto"/>
                <w:sz w:val="21"/>
                <w:szCs w:val="21"/>
                <w:highlight w:val="none"/>
              </w:rPr>
              <w:t>‰，计算各投标人得分（保留两位小数）如下：</w:t>
            </w:r>
          </w:p>
          <w:p w14:paraId="5B681C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计算投标人甲投标报价与评标基准值的百分比为：</w:t>
            </w:r>
            <w:r>
              <w:rPr>
                <w:rFonts w:hint="eastAsia" w:cs="宋体"/>
                <w:b w:val="0"/>
                <w:bCs/>
                <w:color w:val="auto"/>
                <w:sz w:val="21"/>
                <w:szCs w:val="21"/>
                <w:highlight w:val="none"/>
                <w:lang w:val="en-US" w:eastAsia="zh-CN"/>
              </w:rPr>
              <w:t>37%-30%</w:t>
            </w:r>
            <w:r>
              <w:rPr>
                <w:rFonts w:hint="eastAsia" w:ascii="Times New Roman" w:hAnsi="Times New Roman" w:eastAsia="宋体" w:cs="宋体"/>
                <w:b w:val="0"/>
                <w:bCs/>
                <w:color w:val="auto"/>
                <w:sz w:val="21"/>
                <w:szCs w:val="21"/>
                <w:highlight w:val="none"/>
              </w:rPr>
              <w:t>=7%，其得分=</w:t>
            </w:r>
            <w:r>
              <w:rPr>
                <w:rFonts w:hint="eastAsia" w:cs="宋体"/>
                <w:b w:val="0"/>
                <w:bCs/>
                <w:color w:val="auto"/>
                <w:sz w:val="21"/>
                <w:szCs w:val="21"/>
                <w:highlight w:val="none"/>
                <w:lang w:val="en-US" w:eastAsia="zh-CN"/>
              </w:rPr>
              <w:t>40</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7</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0.5</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36.5</w:t>
            </w:r>
            <w:r>
              <w:rPr>
                <w:rFonts w:hint="eastAsia" w:ascii="Times New Roman" w:hAnsi="Times New Roman" w:eastAsia="宋体" w:cs="宋体"/>
                <w:b w:val="0"/>
                <w:bCs/>
                <w:color w:val="auto"/>
                <w:sz w:val="21"/>
                <w:szCs w:val="21"/>
                <w:highlight w:val="none"/>
              </w:rPr>
              <w:t>分；</w:t>
            </w:r>
          </w:p>
          <w:p w14:paraId="7C5649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color w:val="auto"/>
                <w:sz w:val="21"/>
                <w:szCs w:val="21"/>
                <w:highlight w:val="none"/>
              </w:rPr>
            </w:pPr>
            <w:r>
              <w:rPr>
                <w:rFonts w:hint="eastAsia" w:ascii="Times New Roman" w:hAnsi="Times New Roman" w:eastAsia="宋体" w:cs="宋体"/>
                <w:b w:val="0"/>
                <w:bCs/>
                <w:color w:val="auto"/>
                <w:sz w:val="21"/>
                <w:szCs w:val="21"/>
                <w:highlight w:val="none"/>
              </w:rPr>
              <w:t>计算投标人乙投标报价与评标基准值的百分比为：</w:t>
            </w:r>
            <w:r>
              <w:rPr>
                <w:rFonts w:hint="eastAsia" w:cs="宋体"/>
                <w:b w:val="0"/>
                <w:bCs/>
                <w:color w:val="auto"/>
                <w:sz w:val="21"/>
                <w:szCs w:val="21"/>
                <w:highlight w:val="none"/>
                <w:lang w:val="en-US" w:eastAsia="zh-CN"/>
              </w:rPr>
              <w:t>25%-30%</w:t>
            </w:r>
            <w:r>
              <w:rPr>
                <w:rFonts w:hint="eastAsia" w:ascii="Times New Roman" w:hAnsi="Times New Roman" w:eastAsia="宋体" w:cs="宋体"/>
                <w:b w:val="0"/>
                <w:bCs/>
                <w:color w:val="auto"/>
                <w:sz w:val="21"/>
                <w:szCs w:val="21"/>
                <w:highlight w:val="none"/>
              </w:rPr>
              <w:t>=</w:t>
            </w:r>
            <w:r>
              <w:rPr>
                <w:rFonts w:hint="eastAsia" w:ascii="Times New Roman" w:hAnsi="Times New Roman" w:eastAsia="宋体"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%，其得分=</w:t>
            </w:r>
            <w:r>
              <w:rPr>
                <w:rFonts w:hint="eastAsia" w:cs="宋体"/>
                <w:b w:val="0"/>
                <w:bCs/>
                <w:color w:val="auto"/>
                <w:sz w:val="21"/>
                <w:szCs w:val="21"/>
                <w:highlight w:val="none"/>
                <w:lang w:val="en-US" w:eastAsia="zh-CN"/>
              </w:rPr>
              <w:t>40</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5</w:t>
            </w:r>
            <w:r>
              <w:rPr>
                <w:rFonts w:hint="eastAsia" w:ascii="Times New Roman" w:hAnsi="Times New Roman" w:eastAsia="宋体" w:cs="宋体"/>
                <w:b w:val="0"/>
                <w:bCs/>
                <w:color w:val="auto"/>
                <w:sz w:val="21"/>
                <w:szCs w:val="21"/>
                <w:highlight w:val="none"/>
              </w:rPr>
              <w:t>*</w:t>
            </w:r>
            <w:r>
              <w:rPr>
                <w:rFonts w:hint="eastAsia" w:ascii="Times New Roman" w:hAnsi="Times New Roman" w:eastAsia="宋体" w:cs="宋体"/>
                <w:b w:val="0"/>
                <w:bCs/>
                <w:color w:val="auto"/>
                <w:sz w:val="21"/>
                <w:szCs w:val="21"/>
                <w:highlight w:val="none"/>
                <w:lang w:val="en-US" w:eastAsia="zh-CN"/>
              </w:rPr>
              <w:t>0.</w:t>
            </w:r>
            <w:r>
              <w:rPr>
                <w:rFonts w:hint="eastAsia" w:cs="宋体"/>
                <w:b w:val="0"/>
                <w:bCs/>
                <w:color w:val="auto"/>
                <w:sz w:val="21"/>
                <w:szCs w:val="21"/>
                <w:highlight w:val="none"/>
                <w:lang w:val="en-US" w:eastAsia="zh-CN"/>
              </w:rPr>
              <w:t>25</w:t>
            </w:r>
            <w:r>
              <w:rPr>
                <w:rFonts w:hint="eastAsia" w:ascii="Times New Roman" w:hAnsi="Times New Roman" w:eastAsia="宋体" w:cs="宋体"/>
                <w:b w:val="0"/>
                <w:bCs/>
                <w:color w:val="auto"/>
                <w:sz w:val="21"/>
                <w:szCs w:val="21"/>
                <w:highlight w:val="none"/>
              </w:rPr>
              <w:t>=</w:t>
            </w:r>
            <w:r>
              <w:rPr>
                <w:rFonts w:hint="eastAsia" w:cs="宋体"/>
                <w:b w:val="0"/>
                <w:bCs/>
                <w:color w:val="auto"/>
                <w:sz w:val="21"/>
                <w:szCs w:val="21"/>
                <w:highlight w:val="none"/>
                <w:lang w:val="en-US" w:eastAsia="zh-CN"/>
              </w:rPr>
              <w:t>38.75</w:t>
            </w:r>
            <w:r>
              <w:rPr>
                <w:rFonts w:hint="eastAsia" w:ascii="Times New Roman" w:hAnsi="Times New Roman" w:eastAsia="宋体" w:cs="宋体"/>
                <w:b w:val="0"/>
                <w:bCs/>
                <w:color w:val="auto"/>
                <w:sz w:val="21"/>
                <w:szCs w:val="21"/>
                <w:highlight w:val="none"/>
              </w:rPr>
              <w:t>分</w:t>
            </w:r>
            <w:r>
              <w:rPr>
                <w:rFonts w:hint="eastAsia" w:cs="宋体"/>
                <w:b w:val="0"/>
                <w:bCs/>
                <w:color w:val="auto"/>
                <w:sz w:val="21"/>
                <w:szCs w:val="21"/>
                <w:highlight w:val="none"/>
                <w:lang w:val="en-US" w:eastAsia="zh-CN"/>
              </w:rPr>
              <w:t xml:space="preserve"> </w:t>
            </w:r>
            <w:r>
              <w:rPr>
                <w:rFonts w:hint="eastAsia" w:ascii="Times New Roman" w:hAnsi="Times New Roman" w:eastAsia="宋体" w:cs="宋体"/>
                <w:b w:val="0"/>
                <w:bCs/>
                <w:color w:val="auto"/>
                <w:sz w:val="21"/>
                <w:szCs w:val="21"/>
                <w:highlight w:val="none"/>
              </w:rPr>
              <w:t>。</w:t>
            </w:r>
          </w:p>
        </w:tc>
      </w:tr>
      <w:tr w14:paraId="2D15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00" w:type="dxa"/>
            <w:gridSpan w:val="3"/>
            <w:noWrap w:val="0"/>
            <w:vAlign w:val="center"/>
          </w:tcPr>
          <w:p w14:paraId="436B9A3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color w:val="auto"/>
                <w:sz w:val="21"/>
                <w:szCs w:val="21"/>
                <w:highlight w:val="none"/>
              </w:rPr>
            </w:pPr>
            <w:r>
              <w:rPr>
                <w:rFonts w:hint="eastAsia" w:ascii="宋体" w:cs="宋体"/>
                <w:b/>
                <w:color w:val="auto"/>
                <w:sz w:val="21"/>
                <w:szCs w:val="21"/>
                <w:highlight w:val="none"/>
                <w:lang w:val="en-US" w:eastAsia="zh-CN"/>
              </w:rPr>
              <w:t>注：投标单位所报费率为</w:t>
            </w:r>
            <w:r>
              <w:rPr>
                <w:rFonts w:hint="eastAsia"/>
                <w:b/>
                <w:bCs/>
                <w:color w:val="auto"/>
                <w:sz w:val="21"/>
                <w:szCs w:val="21"/>
                <w:highlight w:val="none"/>
              </w:rPr>
              <w:t>0或负数的</w:t>
            </w:r>
            <w:r>
              <w:rPr>
                <w:rFonts w:hint="eastAsia"/>
                <w:b/>
                <w:bCs/>
                <w:color w:val="auto"/>
                <w:sz w:val="21"/>
                <w:szCs w:val="21"/>
                <w:highlight w:val="none"/>
                <w:lang w:eastAsia="zh-CN"/>
              </w:rPr>
              <w:t>，</w:t>
            </w:r>
            <w:r>
              <w:rPr>
                <w:rFonts w:hint="eastAsia"/>
                <w:b/>
                <w:bCs/>
                <w:color w:val="auto"/>
                <w:sz w:val="21"/>
                <w:szCs w:val="21"/>
                <w:highlight w:val="none"/>
                <w:lang w:val="en-US" w:eastAsia="zh-CN"/>
              </w:rPr>
              <w:t>其报价不参与评标基准值的计算，且商务标不得分。</w:t>
            </w:r>
          </w:p>
        </w:tc>
      </w:tr>
      <w:bookmarkEnd w:id="59"/>
      <w:bookmarkEnd w:id="82"/>
    </w:tbl>
    <w:p w14:paraId="4A8A1ACC">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3" w:name="_Toc95223429"/>
      <w:r>
        <w:rPr>
          <w:rFonts w:hint="eastAsia" w:ascii="黑体" w:hAnsi="黑体" w:cs="黑体"/>
          <w:color w:val="auto"/>
          <w:sz w:val="21"/>
          <w:szCs w:val="21"/>
          <w:highlight w:val="none"/>
        </w:rPr>
        <w:t>1. 评标方法</w:t>
      </w:r>
    </w:p>
    <w:p w14:paraId="79606F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由高到低顺序推荐中标候选人应当不超过2名，并标明排序，但投标报价低于其成本的除外。如总得分相等，以投标报价低的优先，投标报价仍相等，由评标委员会主任委员或招标人随机抽取确定排名。</w:t>
      </w:r>
    </w:p>
    <w:bookmarkEnd w:id="83"/>
    <w:p w14:paraId="6F6327BC">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4" w:name="_Toc95223430"/>
      <w:r>
        <w:rPr>
          <w:rFonts w:hint="eastAsia" w:ascii="黑体" w:hAnsi="黑体" w:cs="黑体"/>
          <w:color w:val="auto"/>
          <w:sz w:val="21"/>
          <w:szCs w:val="21"/>
          <w:highlight w:val="none"/>
        </w:rPr>
        <w:t>2.评标委员会的职责</w:t>
      </w:r>
      <w:bookmarkEnd w:id="84"/>
    </w:p>
    <w:p w14:paraId="61915D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E226B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F50D1CF">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85"/>
    </w:p>
    <w:p w14:paraId="4FC285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评标先做准备工作，再进行资格、技术标评审，然后进行商务标评审。</w:t>
      </w:r>
    </w:p>
    <w:p w14:paraId="29823DD4">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6" w:name="_Toc95223432"/>
      <w:r>
        <w:rPr>
          <w:rFonts w:hint="eastAsia" w:ascii="黑体" w:hAnsi="黑体" w:cs="黑体"/>
          <w:color w:val="auto"/>
          <w:sz w:val="21"/>
          <w:szCs w:val="21"/>
          <w:highlight w:val="none"/>
        </w:rPr>
        <w:t>3.1评标准备工作</w:t>
      </w:r>
      <w:bookmarkEnd w:id="86"/>
    </w:p>
    <w:p w14:paraId="5C9EEC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0C7781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7A1A22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DEB6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321366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4F90CE1B">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7" w:name="_Toc95223433"/>
      <w:r>
        <w:rPr>
          <w:rFonts w:hint="eastAsia" w:ascii="黑体" w:hAnsi="黑体" w:cs="黑体"/>
          <w:color w:val="auto"/>
          <w:sz w:val="21"/>
          <w:szCs w:val="21"/>
          <w:highlight w:val="none"/>
        </w:rPr>
        <w:t>3.2</w:t>
      </w:r>
      <w:bookmarkEnd w:id="87"/>
      <w:bookmarkStart w:id="88" w:name="_Toc95223434"/>
      <w:r>
        <w:rPr>
          <w:rFonts w:hint="eastAsia" w:ascii="黑体" w:hAnsi="黑体" w:cs="黑体"/>
          <w:color w:val="auto"/>
          <w:sz w:val="21"/>
          <w:szCs w:val="21"/>
          <w:highlight w:val="none"/>
        </w:rPr>
        <w:t>商务标评审</w:t>
      </w:r>
      <w:bookmarkEnd w:id="88"/>
    </w:p>
    <w:p w14:paraId="05F93E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585449FD">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p>
    <w:p w14:paraId="594BEB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资信评审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技术、</w:t>
      </w:r>
      <w:r>
        <w:rPr>
          <w:rFonts w:hint="eastAsia" w:ascii="宋体" w:hAnsi="宋体" w:cs="宋体"/>
          <w:color w:val="auto"/>
          <w:szCs w:val="21"/>
          <w:highlight w:val="none"/>
        </w:rPr>
        <w:t>商务标评审后，推荐中标候选人，并标明排序。</w:t>
      </w:r>
    </w:p>
    <w:p w14:paraId="76385E3E">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9" w:name="_Toc95223435"/>
      <w:r>
        <w:rPr>
          <w:rFonts w:hint="eastAsia" w:ascii="黑体" w:hAnsi="黑体" w:cs="黑体"/>
          <w:color w:val="auto"/>
          <w:sz w:val="21"/>
          <w:szCs w:val="21"/>
          <w:highlight w:val="none"/>
        </w:rPr>
        <w:t>4.评审内容</w:t>
      </w:r>
      <w:bookmarkEnd w:id="89"/>
    </w:p>
    <w:p w14:paraId="5BE5644F">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0" w:name="_Toc95223436"/>
      <w:r>
        <w:rPr>
          <w:rFonts w:hint="eastAsia" w:ascii="黑体" w:hAnsi="黑体" w:cs="黑体"/>
          <w:color w:val="auto"/>
          <w:sz w:val="21"/>
          <w:szCs w:val="21"/>
          <w:highlight w:val="none"/>
        </w:rPr>
        <w:t>4.1</w:t>
      </w:r>
      <w:bookmarkEnd w:id="90"/>
      <w:bookmarkStart w:id="91" w:name="_Toc95223437"/>
      <w:r>
        <w:rPr>
          <w:rFonts w:hint="eastAsia" w:ascii="黑体" w:hAnsi="黑体" w:cs="黑体"/>
          <w:color w:val="auto"/>
          <w:sz w:val="21"/>
          <w:szCs w:val="21"/>
          <w:highlight w:val="none"/>
        </w:rPr>
        <w:t>商务标评审</w:t>
      </w:r>
      <w:bookmarkEnd w:id="91"/>
    </w:p>
    <w:p w14:paraId="002FEBF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只有通过资信评审的投标才能够进入本阶段评审。</w:t>
      </w:r>
    </w:p>
    <w:p w14:paraId="3BF96E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0C9F0984">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2" w:name="_Toc95223438"/>
      <w:r>
        <w:rPr>
          <w:rFonts w:hint="eastAsia" w:ascii="黑体" w:hAnsi="黑体" w:cs="黑体"/>
          <w:color w:val="auto"/>
          <w:sz w:val="21"/>
          <w:szCs w:val="21"/>
          <w:highlight w:val="none"/>
        </w:rPr>
        <w:t>5.无效投标条款</w:t>
      </w:r>
      <w:bookmarkEnd w:id="92"/>
    </w:p>
    <w:p w14:paraId="7B64B1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62669E2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 未在投标截止时间前递交有效</w:t>
      </w:r>
      <w:r>
        <w:rPr>
          <w:rFonts w:hint="eastAsia" w:ascii="宋体" w:hAnsi="宋体" w:cs="宋体"/>
          <w:color w:val="auto"/>
          <w:szCs w:val="21"/>
          <w:highlight w:val="none"/>
          <w:lang w:val="en-US" w:eastAsia="zh-CN"/>
        </w:rPr>
        <w:t>电子</w:t>
      </w:r>
      <w:r>
        <w:rPr>
          <w:rFonts w:hint="eastAsia" w:ascii="宋体" w:hAnsi="宋体" w:cs="宋体"/>
          <w:color w:val="auto"/>
          <w:szCs w:val="21"/>
          <w:highlight w:val="none"/>
        </w:rPr>
        <w:t>投标文件的，投标将被拒绝；</w:t>
      </w:r>
    </w:p>
    <w:p w14:paraId="3B9C3F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2CE999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（1）投标人有串通投标、视为串通投标、弄虚作假、行贿等违法行为。</w:t>
      </w:r>
    </w:p>
    <w:p w14:paraId="1EAA4B4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（2）投标文件没有对招标文件的实质性要求和条件作出响应。</w:t>
      </w:r>
    </w:p>
    <w:p w14:paraId="31EE56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（3）实质性内容不全或关键字迹模糊、无法辨认的，经评委会一致认定的。</w:t>
      </w:r>
    </w:p>
    <w:p w14:paraId="010E9E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（4）未按规定的格式填写，经评委会一致认定的。</w:t>
      </w:r>
    </w:p>
    <w:p w14:paraId="2CC09DD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（5）同一投标人提交两个以上不同的投标文件或者投标报价，但招标文件规定提交备选投标的除外。</w:t>
      </w:r>
    </w:p>
    <w:p w14:paraId="0FEB29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（6）投标文件中存在招标人不能接受的其他实质性条件。</w:t>
      </w:r>
    </w:p>
    <w:p w14:paraId="0945165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（7）投标文件中填报的拟任项目负责人与资格审查通过的项目负责人前后不一致的。</w:t>
      </w:r>
    </w:p>
    <w:p w14:paraId="49FB4E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（8）投标人拒不按照要求对投标文件进行澄清、说明、补正的，或评标委员会根据招标文件的规定对招标文件的计算错误进行修正后，投标人不接受修正的投标报价的。</w:t>
      </w:r>
    </w:p>
    <w:p w14:paraId="2202E9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（9）投标人单方面出现其他投标人材料。</w:t>
      </w:r>
    </w:p>
    <w:p w14:paraId="0FF0938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（10）法律、法规规定的其他情形。</w:t>
      </w:r>
    </w:p>
    <w:p w14:paraId="44FE977B">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3" w:name="_Toc95223439"/>
      <w:r>
        <w:rPr>
          <w:rFonts w:hint="eastAsia" w:ascii="黑体" w:hAnsi="黑体" w:cs="黑体"/>
          <w:color w:val="auto"/>
          <w:sz w:val="21"/>
          <w:szCs w:val="21"/>
          <w:highlight w:val="none"/>
        </w:rPr>
        <w:t>6.投标文件的澄清和补正</w:t>
      </w:r>
      <w:bookmarkEnd w:id="93"/>
    </w:p>
    <w:p w14:paraId="0D4DDD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2D681F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35EE5B9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0D212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326DDB5D">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4" w:name="_Toc95223440"/>
      <w:r>
        <w:rPr>
          <w:rFonts w:hint="eastAsia" w:ascii="黑体" w:hAnsi="黑体" w:cs="黑体"/>
          <w:color w:val="auto"/>
          <w:sz w:val="21"/>
          <w:szCs w:val="21"/>
          <w:highlight w:val="none"/>
        </w:rPr>
        <w:t>7.评分标准</w:t>
      </w:r>
      <w:bookmarkEnd w:id="94"/>
    </w:p>
    <w:p w14:paraId="7E3383B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7.1评分标准：见资信、技术及商务评分表。</w:t>
      </w:r>
    </w:p>
    <w:p w14:paraId="04EBB619">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5" w:name="_Toc95223441"/>
      <w:r>
        <w:rPr>
          <w:rFonts w:hint="eastAsia" w:ascii="黑体" w:hAnsi="黑体" w:cs="黑体"/>
          <w:color w:val="auto"/>
          <w:sz w:val="21"/>
          <w:szCs w:val="21"/>
          <w:highlight w:val="none"/>
        </w:rPr>
        <w:t>8.评审结果</w:t>
      </w:r>
      <w:bookmarkEnd w:id="95"/>
    </w:p>
    <w:p w14:paraId="496CA3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8.1除“投标人须知”及其前附表授权直接确定中标人外，评标委员会按照总得分由高到低顺序推荐中标候选人。</w:t>
      </w:r>
    </w:p>
    <w:p w14:paraId="113168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5B4F9B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519227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298094A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（3）开标记录。</w:t>
      </w:r>
    </w:p>
    <w:p w14:paraId="705B6C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5845AD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6E148D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AD569C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123D1D2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1B7355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512F19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6C2B5AE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40F64B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E165C65">
      <w:pPr>
        <w:pStyle w:val="7"/>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96" w:name="_Toc95223442"/>
      <w:r>
        <w:rPr>
          <w:rFonts w:hint="eastAsia" w:ascii="黑体" w:hAnsi="黑体" w:cs="黑体"/>
          <w:color w:val="auto"/>
          <w:sz w:val="21"/>
          <w:szCs w:val="21"/>
          <w:highlight w:val="none"/>
        </w:rPr>
        <w:t>9.其他</w:t>
      </w:r>
      <w:bookmarkEnd w:id="96"/>
    </w:p>
    <w:p w14:paraId="6BA4A6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4D714500">
      <w:pPr>
        <w:rPr>
          <w:rFonts w:hint="eastAsia" w:ascii="宋体" w:hAnsi="宋体" w:eastAsia="宋体" w:cs="宋体"/>
          <w:color w:val="auto"/>
          <w:kern w:val="2"/>
          <w:sz w:val="28"/>
          <w:szCs w:val="28"/>
          <w:highlight w:val="none"/>
          <w:lang w:val="en-US" w:eastAsia="zh-CN"/>
        </w:rPr>
      </w:pPr>
      <w:bookmarkStart w:id="97" w:name="_Toc58430328"/>
      <w:r>
        <w:rPr>
          <w:rFonts w:hint="eastAsia" w:ascii="宋体" w:hAnsi="宋体" w:eastAsia="宋体" w:cs="宋体"/>
          <w:color w:val="auto"/>
          <w:kern w:val="2"/>
          <w:sz w:val="28"/>
          <w:szCs w:val="28"/>
          <w:highlight w:val="none"/>
          <w:lang w:val="en-US" w:eastAsia="zh-CN"/>
        </w:rPr>
        <w:br w:type="page"/>
      </w:r>
    </w:p>
    <w:p w14:paraId="60FFA5D6">
      <w:pPr>
        <w:pStyle w:val="6"/>
        <w:pageBreakBefore w:val="0"/>
        <w:kinsoku/>
        <w:wordWrap/>
        <w:overflowPunct/>
        <w:topLinePunct w:val="0"/>
        <w:autoSpaceDE/>
        <w:autoSpaceDN/>
        <w:bidi w:val="0"/>
        <w:spacing w:before="0" w:after="0" w:line="560" w:lineRule="exact"/>
        <w:textAlignment w:val="auto"/>
        <w:outlineLvl w:val="0"/>
        <w:rPr>
          <w:rFonts w:hint="eastAsia" w:ascii="宋体" w:hAnsi="宋体" w:eastAsia="宋体" w:cs="宋体"/>
          <w:color w:val="auto"/>
          <w:kern w:val="2"/>
          <w:sz w:val="28"/>
          <w:szCs w:val="28"/>
          <w:highlight w:val="none"/>
        </w:rPr>
      </w:pPr>
      <w:bookmarkStart w:id="98" w:name="_Toc13446"/>
      <w:r>
        <w:rPr>
          <w:rFonts w:hint="eastAsia" w:ascii="宋体" w:hAnsi="宋体" w:eastAsia="宋体" w:cs="宋体"/>
          <w:color w:val="auto"/>
          <w:kern w:val="2"/>
          <w:sz w:val="28"/>
          <w:szCs w:val="28"/>
          <w:highlight w:val="none"/>
          <w:lang w:val="en-US" w:eastAsia="zh-CN"/>
        </w:rPr>
        <w:t>第四章</w:t>
      </w:r>
      <w:r>
        <w:rPr>
          <w:rFonts w:hint="eastAsia" w:ascii="宋体" w:hAnsi="宋体" w:eastAsia="宋体" w:cs="宋体"/>
          <w:color w:val="auto"/>
          <w:kern w:val="2"/>
          <w:sz w:val="28"/>
          <w:szCs w:val="28"/>
          <w:highlight w:val="none"/>
        </w:rPr>
        <w:t xml:space="preserve">  采购需求及服务要求</w:t>
      </w:r>
      <w:bookmarkEnd w:id="60"/>
      <w:bookmarkEnd w:id="97"/>
      <w:bookmarkEnd w:id="98"/>
    </w:p>
    <w:p w14:paraId="6BFB4A50">
      <w:pPr>
        <w:keepNext w:val="0"/>
        <w:keepLines w:val="0"/>
        <w:pageBreakBefore w:val="0"/>
        <w:kinsoku/>
        <w:wordWrap/>
        <w:overflowPunct/>
        <w:topLinePunct w:val="0"/>
        <w:autoSpaceDE w:val="0"/>
        <w:autoSpaceDN w:val="0"/>
        <w:bidi w:val="0"/>
        <w:adjustRightInd w:val="0"/>
        <w:snapToGrid/>
        <w:spacing w:line="500" w:lineRule="exact"/>
        <w:ind w:firstLine="420" w:firstLineChars="200"/>
        <w:jc w:val="left"/>
        <w:textAlignment w:val="auto"/>
        <w:rPr>
          <w:rFonts w:ascii="宋体"/>
          <w:color w:val="auto"/>
          <w:kern w:val="0"/>
          <w:highlight w:val="none"/>
        </w:rPr>
      </w:pPr>
      <w:bookmarkStart w:id="99" w:name="_Toc25362"/>
      <w:bookmarkStart w:id="100" w:name="_Toc14427"/>
      <w:r>
        <w:rPr>
          <w:rFonts w:hint="eastAsia" w:ascii="宋体" w:hAnsi="宋体" w:cs="宋体"/>
          <w:color w:val="auto"/>
          <w:kern w:val="0"/>
          <w:highlight w:val="none"/>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）本项目最高投标限价成果各投标人需在“安徽省建设工程造价全过程监管平台”网上进行最高限价备案，并出具最高限价备案表一式四份，由工程量清单最高投标限价编制单位负责备案；</w:t>
      </w:r>
    </w:p>
    <w:p w14:paraId="5AE93E9F">
      <w:pPr>
        <w:keepNext w:val="0"/>
        <w:keepLines w:val="0"/>
        <w:pageBreakBefore w:val="0"/>
        <w:kinsoku/>
        <w:wordWrap/>
        <w:overflowPunct/>
        <w:topLinePunct w:val="0"/>
        <w:autoSpaceDE w:val="0"/>
        <w:autoSpaceDN w:val="0"/>
        <w:bidi w:val="0"/>
        <w:adjustRightInd w:val="0"/>
        <w:snapToGrid/>
        <w:spacing w:line="500" w:lineRule="exact"/>
        <w:ind w:firstLine="420" w:firstLineChars="200"/>
        <w:jc w:val="left"/>
        <w:textAlignment w:val="auto"/>
        <w:rPr>
          <w:rFonts w:ascii="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）工程量清单最高投标限价编制及</w:t>
      </w:r>
      <w:r>
        <w:rPr>
          <w:rFonts w:hint="eastAsia" w:ascii="宋体" w:hAnsi="宋体" w:cs="宋体"/>
          <w:color w:val="auto"/>
          <w:kern w:val="0"/>
          <w:highlight w:val="none"/>
          <w:lang w:eastAsia="zh-CN"/>
        </w:rPr>
        <w:t>复审</w:t>
      </w:r>
      <w:r>
        <w:rPr>
          <w:rFonts w:hint="eastAsia" w:ascii="宋体" w:hAnsi="宋体" w:cs="宋体"/>
          <w:color w:val="auto"/>
          <w:kern w:val="0"/>
          <w:highlight w:val="none"/>
        </w:rPr>
        <w:t>过程中投标人应与招标人充分及时沟通，以使清单项目特征描述尽可能详尽</w:t>
      </w:r>
      <w:r>
        <w:rPr>
          <w:rFonts w:ascii="宋体" w:cs="宋体"/>
          <w:color w:val="auto"/>
          <w:kern w:val="0"/>
          <w:highlight w:val="none"/>
        </w:rPr>
        <w:t>,</w:t>
      </w:r>
      <w:r>
        <w:rPr>
          <w:rFonts w:hint="eastAsia" w:ascii="宋体" w:hAnsi="宋体" w:cs="宋体"/>
          <w:color w:val="auto"/>
          <w:kern w:val="0"/>
          <w:highlight w:val="none"/>
        </w:rPr>
        <w:t>满足招标人要求；</w:t>
      </w:r>
    </w:p>
    <w:p w14:paraId="5230CF6D">
      <w:pPr>
        <w:keepNext w:val="0"/>
        <w:keepLines w:val="0"/>
        <w:pageBreakBefore w:val="0"/>
        <w:kinsoku/>
        <w:wordWrap/>
        <w:overflowPunct/>
        <w:topLinePunct w:val="0"/>
        <w:autoSpaceDE w:val="0"/>
        <w:autoSpaceDN w:val="0"/>
        <w:bidi w:val="0"/>
        <w:adjustRightInd w:val="0"/>
        <w:snapToGrid/>
        <w:spacing w:line="500" w:lineRule="exact"/>
        <w:ind w:firstLine="420" w:firstLineChars="200"/>
        <w:jc w:val="left"/>
        <w:textAlignment w:val="auto"/>
        <w:rPr>
          <w:rFonts w:ascii="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）根据招标人提供的图纸和编制要求在规定的时间内编制及</w:t>
      </w:r>
      <w:r>
        <w:rPr>
          <w:rFonts w:hint="eastAsia" w:ascii="宋体" w:hAnsi="宋体" w:cs="宋体"/>
          <w:color w:val="auto"/>
          <w:kern w:val="0"/>
          <w:highlight w:val="none"/>
          <w:lang w:eastAsia="zh-CN"/>
        </w:rPr>
        <w:t>复审</w:t>
      </w:r>
      <w:r>
        <w:rPr>
          <w:rFonts w:hint="eastAsia" w:ascii="宋体" w:hAnsi="宋体" w:cs="宋体"/>
          <w:color w:val="auto"/>
          <w:kern w:val="0"/>
          <w:highlight w:val="none"/>
        </w:rPr>
        <w:t>工程量清单及最高投标限价；</w:t>
      </w:r>
    </w:p>
    <w:p w14:paraId="4BBBE252">
      <w:pPr>
        <w:keepNext w:val="0"/>
        <w:keepLines w:val="0"/>
        <w:pageBreakBefore w:val="0"/>
        <w:kinsoku/>
        <w:wordWrap/>
        <w:overflowPunct/>
        <w:topLinePunct w:val="0"/>
        <w:autoSpaceDE w:val="0"/>
        <w:autoSpaceDN w:val="0"/>
        <w:bidi w:val="0"/>
        <w:adjustRightInd w:val="0"/>
        <w:snapToGrid/>
        <w:spacing w:line="500" w:lineRule="exact"/>
        <w:jc w:val="left"/>
        <w:textAlignment w:val="auto"/>
        <w:rPr>
          <w:rFonts w:ascii="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）当完成工程量清单及最高投标限价编制及</w:t>
      </w:r>
      <w:r>
        <w:rPr>
          <w:rFonts w:hint="eastAsia" w:ascii="宋体" w:hAnsi="宋体" w:cs="宋体"/>
          <w:color w:val="auto"/>
          <w:kern w:val="0"/>
          <w:highlight w:val="none"/>
          <w:lang w:eastAsia="zh-CN"/>
        </w:rPr>
        <w:t>复审</w:t>
      </w:r>
      <w:r>
        <w:rPr>
          <w:rFonts w:hint="eastAsia" w:ascii="宋体" w:hAnsi="宋体" w:cs="宋体"/>
          <w:color w:val="auto"/>
          <w:kern w:val="0"/>
          <w:highlight w:val="none"/>
        </w:rPr>
        <w:t>时，投标人根据自己的工作经验向招标人提出有关造价及工作管理等方面的建议性意见。</w:t>
      </w:r>
    </w:p>
    <w:p w14:paraId="53EF6E8E">
      <w:pPr>
        <w:keepNext w:val="0"/>
        <w:keepLines w:val="0"/>
        <w:pageBreakBefore w:val="0"/>
        <w:kinsoku/>
        <w:wordWrap/>
        <w:overflowPunct/>
        <w:topLinePunct w:val="0"/>
        <w:autoSpaceDE w:val="0"/>
        <w:autoSpaceDN w:val="0"/>
        <w:bidi w:val="0"/>
        <w:adjustRightInd w:val="0"/>
        <w:snapToGrid/>
        <w:spacing w:line="500" w:lineRule="exact"/>
        <w:ind w:firstLine="420" w:firstLineChars="200"/>
        <w:jc w:val="left"/>
        <w:textAlignment w:val="auto"/>
        <w:rPr>
          <w:rFonts w:ascii="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）工程量计算说明：</w:t>
      </w:r>
    </w:p>
    <w:p w14:paraId="393F3D08">
      <w:pPr>
        <w:keepNext w:val="0"/>
        <w:keepLines w:val="0"/>
        <w:pageBreakBefore w:val="0"/>
        <w:kinsoku/>
        <w:wordWrap/>
        <w:overflowPunct/>
        <w:topLinePunct w:val="0"/>
        <w:autoSpaceDE w:val="0"/>
        <w:autoSpaceDN w:val="0"/>
        <w:bidi w:val="0"/>
        <w:adjustRightInd w:val="0"/>
        <w:snapToGrid/>
        <w:spacing w:line="500" w:lineRule="exact"/>
        <w:ind w:firstLine="525" w:firstLineChars="250"/>
        <w:jc w:val="left"/>
        <w:textAlignment w:val="auto"/>
        <w:rPr>
          <w:rFonts w:ascii="宋体"/>
          <w:color w:val="auto"/>
          <w:kern w:val="0"/>
          <w:highlight w:val="none"/>
        </w:rPr>
      </w:pPr>
      <w:r>
        <w:rPr>
          <w:rFonts w:hint="eastAsia" w:ascii="宋体" w:hAnsi="宋体" w:cs="宋体"/>
          <w:color w:val="auto"/>
          <w:kern w:val="0"/>
          <w:highlight w:val="none"/>
        </w:rPr>
        <w:t>每项工程的工程量计算书，投标人应在提供清单时同时提供计算结果，应精确至小数点后第四位，第五位四舍五入。</w:t>
      </w:r>
    </w:p>
    <w:p w14:paraId="54B7B0F1">
      <w:pPr>
        <w:keepNext w:val="0"/>
        <w:keepLines w:val="0"/>
        <w:pageBreakBefore w:val="0"/>
        <w:kinsoku/>
        <w:wordWrap/>
        <w:overflowPunct/>
        <w:topLinePunct w:val="0"/>
        <w:autoSpaceDE w:val="0"/>
        <w:autoSpaceDN w:val="0"/>
        <w:bidi w:val="0"/>
        <w:adjustRightInd w:val="0"/>
        <w:snapToGrid/>
        <w:spacing w:line="500" w:lineRule="exact"/>
        <w:ind w:firstLine="525" w:firstLineChars="250"/>
        <w:jc w:val="left"/>
        <w:textAlignment w:val="auto"/>
        <w:rPr>
          <w:rFonts w:ascii="宋体"/>
          <w:color w:val="auto"/>
          <w:kern w:val="0"/>
          <w:highlight w:val="none"/>
        </w:rPr>
      </w:pPr>
      <w:r>
        <w:rPr>
          <w:rFonts w:hint="eastAsia" w:ascii="宋体" w:hAnsi="宋体" w:cs="宋体"/>
          <w:color w:val="auto"/>
          <w:kern w:val="0"/>
          <w:highlight w:val="none"/>
        </w:rPr>
        <w:t>提交造价成果文件时需提供各专业工程量的详细计算书底稿。采用手算的提供计算底稿，采用软件计算的提供电子文件（含软件版文件）。</w:t>
      </w:r>
    </w:p>
    <w:p w14:paraId="4047F047">
      <w:pPr>
        <w:keepNext w:val="0"/>
        <w:keepLines w:val="0"/>
        <w:pageBreakBefore w:val="0"/>
        <w:kinsoku/>
        <w:wordWrap/>
        <w:overflowPunct/>
        <w:topLinePunct w:val="0"/>
        <w:autoSpaceDE w:val="0"/>
        <w:autoSpaceDN w:val="0"/>
        <w:bidi w:val="0"/>
        <w:adjustRightInd w:val="0"/>
        <w:snapToGrid/>
        <w:spacing w:line="500" w:lineRule="exact"/>
        <w:ind w:firstLine="525" w:firstLineChars="250"/>
        <w:jc w:val="left"/>
        <w:textAlignment w:val="auto"/>
        <w:rPr>
          <w:rFonts w:ascii="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w:t>
      </w:r>
      <w:r>
        <w:rPr>
          <w:rFonts w:hint="eastAsia" w:ascii="宋体" w:hAnsi="宋体" w:cs="宋体"/>
          <w:color w:val="auto"/>
          <w:highlight w:val="none"/>
        </w:rPr>
        <w:t>提供主要材料和设备询价单，咨询品牌不应少于</w:t>
      </w:r>
      <w:r>
        <w:rPr>
          <w:rFonts w:ascii="宋体" w:hAnsi="宋体" w:cs="宋体"/>
          <w:color w:val="auto"/>
          <w:highlight w:val="none"/>
        </w:rPr>
        <w:t>3</w:t>
      </w:r>
      <w:r>
        <w:rPr>
          <w:rFonts w:hint="eastAsia" w:ascii="宋体" w:hAnsi="宋体" w:cs="宋体"/>
          <w:color w:val="auto"/>
          <w:highlight w:val="none"/>
        </w:rPr>
        <w:t>家</w:t>
      </w:r>
      <w:r>
        <w:rPr>
          <w:rFonts w:hint="eastAsia" w:ascii="宋体" w:hAnsi="宋体" w:cs="宋体"/>
          <w:color w:val="auto"/>
          <w:kern w:val="0"/>
          <w:highlight w:val="none"/>
        </w:rPr>
        <w:t>。</w:t>
      </w:r>
    </w:p>
    <w:p w14:paraId="41469CFC">
      <w:pPr>
        <w:keepNext w:val="0"/>
        <w:keepLines w:val="0"/>
        <w:pageBreakBefore w:val="0"/>
        <w:widowControl/>
        <w:kinsoku/>
        <w:wordWrap/>
        <w:overflowPunct/>
        <w:topLinePunct w:val="0"/>
        <w:bidi w:val="0"/>
        <w:snapToGrid/>
        <w:spacing w:line="500" w:lineRule="exact"/>
        <w:ind w:firstLine="420" w:firstLineChars="200"/>
        <w:textAlignment w:val="auto"/>
        <w:rPr>
          <w:rFonts w:ascii="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）招标人安排的其他合理事项，中标人应予以配合完成；中标人有错、漏项</w:t>
      </w:r>
      <w:r>
        <w:rPr>
          <w:rFonts w:hint="eastAsia" w:ascii="宋体" w:hAnsi="宋体" w:cs="宋体"/>
          <w:color w:val="auto"/>
          <w:kern w:val="0"/>
          <w:highlight w:val="none"/>
          <w:lang w:val="en-US" w:eastAsia="zh-CN"/>
        </w:rPr>
        <w:t>等</w:t>
      </w:r>
      <w:r>
        <w:rPr>
          <w:rFonts w:hint="eastAsia" w:ascii="宋体" w:hAnsi="宋体" w:cs="宋体"/>
          <w:color w:val="auto"/>
          <w:kern w:val="0"/>
          <w:highlight w:val="none"/>
        </w:rPr>
        <w:t>的必须及时配合补充编制、复审。否则业主有权上报有关主管部门给予处罚。</w:t>
      </w:r>
    </w:p>
    <w:p w14:paraId="625015F5">
      <w:pPr>
        <w:keepNext w:val="0"/>
        <w:keepLines w:val="0"/>
        <w:pageBreakBefore w:val="0"/>
        <w:kinsoku/>
        <w:wordWrap/>
        <w:overflowPunct/>
        <w:topLinePunct w:val="0"/>
        <w:bidi w:val="0"/>
        <w:snapToGrid/>
        <w:spacing w:line="500" w:lineRule="exact"/>
        <w:ind w:firstLine="420" w:firstLineChars="200"/>
        <w:textAlignment w:val="auto"/>
        <w:rPr>
          <w:rFonts w:ascii="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）造价咨询成果文件一式</w:t>
      </w:r>
      <w:r>
        <w:rPr>
          <w:rFonts w:ascii="宋体" w:hAnsi="宋体" w:cs="宋体"/>
          <w:color w:val="auto"/>
          <w:highlight w:val="none"/>
        </w:rPr>
        <w:t>8</w:t>
      </w:r>
      <w:r>
        <w:rPr>
          <w:rFonts w:hint="eastAsia" w:ascii="宋体" w:hAnsi="宋体" w:cs="宋体"/>
          <w:color w:val="auto"/>
          <w:highlight w:val="none"/>
        </w:rPr>
        <w:t>份，电子版，软件版各</w:t>
      </w:r>
      <w:r>
        <w:rPr>
          <w:rFonts w:ascii="宋体" w:hAnsi="宋体" w:cs="宋体"/>
          <w:color w:val="auto"/>
          <w:highlight w:val="none"/>
        </w:rPr>
        <w:t>1</w:t>
      </w:r>
      <w:r>
        <w:rPr>
          <w:rFonts w:hint="eastAsia" w:ascii="宋体" w:hAnsi="宋体" w:cs="宋体"/>
          <w:color w:val="auto"/>
          <w:highlight w:val="none"/>
        </w:rPr>
        <w:t>份。（由中标人提供）</w:t>
      </w:r>
    </w:p>
    <w:p w14:paraId="4450FFCC">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投标人在投标前需了解当地造价管理部门的相关规定和造价政策，项目负责人能熟练掌握使用安徽省常用的计量计价软件，如：新点造价软件安徽版、广联达算量软件等。</w:t>
      </w:r>
    </w:p>
    <w:p w14:paraId="22099F29">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中标价（费率）包干使用，中标人不得因“设计变更、施工标段划分调整、市场变化、规范和标准调整等一切可预见和不可预见因素”向采购人提出调整。中标价在合同实施期间不因市场和政策变化因素而变动。</w:t>
      </w:r>
    </w:p>
    <w:p w14:paraId="4CC1ED1B">
      <w:pPr>
        <w:keepNext w:val="0"/>
        <w:keepLines w:val="0"/>
        <w:pageBreakBefore w:val="0"/>
        <w:widowControl/>
        <w:kinsoku/>
        <w:wordWrap/>
        <w:overflowPunct/>
        <w:topLinePunct w:val="0"/>
        <w:bidi w:val="0"/>
        <w:snapToGrid/>
        <w:spacing w:line="500" w:lineRule="exact"/>
        <w:ind w:firstLine="420" w:firstLineChars="200"/>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（11）建筑垃圾综合处置项目包含的其他零星工程造价，由本项目中标单位负责编制工程量清单及最高投标限价，价格（费率）执行本项目中标价，单个项目不足2000元，按2000元支付。</w:t>
      </w:r>
    </w:p>
    <w:p w14:paraId="3F2D48F8">
      <w:pPr>
        <w:pStyle w:val="6"/>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14:paraId="42671023">
      <w:pPr>
        <w:pStyle w:val="6"/>
        <w:pageBreakBefore w:val="0"/>
        <w:kinsoku/>
        <w:wordWrap/>
        <w:overflowPunct/>
        <w:topLinePunct w:val="0"/>
        <w:autoSpaceDE/>
        <w:autoSpaceDN/>
        <w:bidi w:val="0"/>
        <w:spacing w:before="0" w:after="0" w:line="560" w:lineRule="exact"/>
        <w:textAlignment w:val="auto"/>
        <w:rPr>
          <w:rFonts w:hint="eastAsia" w:ascii="宋体" w:hAnsi="宋体" w:eastAsia="宋体" w:cs="宋体"/>
          <w:color w:val="auto"/>
          <w:kern w:val="2"/>
          <w:sz w:val="28"/>
          <w:szCs w:val="28"/>
          <w:highlight w:val="none"/>
        </w:rPr>
      </w:pPr>
    </w:p>
    <w:p w14:paraId="06A58CDD">
      <w:pPr>
        <w:pStyle w:val="6"/>
        <w:pageBreakBefore w:val="0"/>
        <w:kinsoku/>
        <w:wordWrap/>
        <w:overflowPunct/>
        <w:topLinePunct w:val="0"/>
        <w:autoSpaceDE/>
        <w:autoSpaceDN/>
        <w:bidi w:val="0"/>
        <w:spacing w:before="0" w:after="0" w:line="560" w:lineRule="exact"/>
        <w:textAlignment w:val="auto"/>
        <w:rPr>
          <w:rFonts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五</w:t>
      </w:r>
      <w:r>
        <w:rPr>
          <w:rFonts w:hint="eastAsia" w:ascii="宋体" w:hAnsi="宋体" w:eastAsia="宋体" w:cs="宋体"/>
          <w:color w:val="auto"/>
          <w:kern w:val="2"/>
          <w:sz w:val="28"/>
          <w:szCs w:val="28"/>
          <w:highlight w:val="none"/>
        </w:rPr>
        <w:t>章  合同条款</w:t>
      </w:r>
      <w:bookmarkEnd w:id="53"/>
      <w:bookmarkEnd w:id="54"/>
      <w:bookmarkEnd w:id="55"/>
      <w:bookmarkEnd w:id="99"/>
      <w:bookmarkEnd w:id="100"/>
    </w:p>
    <w:p w14:paraId="433DAB76">
      <w:pPr>
        <w:spacing w:before="304" w:beforeLines="100" w:after="304" w:afterLines="100" w:line="400" w:lineRule="exact"/>
        <w:jc w:val="center"/>
        <w:outlineLvl w:val="1"/>
        <w:rPr>
          <w:rFonts w:hint="eastAsia" w:ascii="汉仪大黑简" w:hAnsi="汉仪大黑简" w:eastAsia="汉仪大黑简" w:cs="汉仪大黑简"/>
          <w:b w:val="0"/>
          <w:color w:val="auto"/>
          <w:sz w:val="28"/>
          <w:szCs w:val="28"/>
          <w:highlight w:val="none"/>
        </w:rPr>
      </w:pPr>
      <w:bookmarkStart w:id="101" w:name="_Toc2057459953_WPSOffice_Level2"/>
      <w:bookmarkStart w:id="102" w:name="_Toc229131940_WPSOffice_Level2"/>
      <w:bookmarkStart w:id="103" w:name="_Toc1828535363_WPSOffice_Level2"/>
      <w:bookmarkStart w:id="104" w:name="_Toc1066543778_WPSOffice_Level2"/>
      <w:bookmarkStart w:id="105" w:name="_Toc1578578393_WPSOffice_Level2"/>
      <w:bookmarkStart w:id="106" w:name="_Toc21427"/>
      <w:bookmarkStart w:id="107" w:name="_Toc1318110684_WPSOffice_Level2"/>
      <w:bookmarkStart w:id="108" w:name="_Toc1270188953_WPSOffice_Level2"/>
      <w:r>
        <w:rPr>
          <w:rFonts w:hint="eastAsia" w:ascii="汉仪大黑简" w:hAnsi="汉仪大黑简" w:eastAsia="汉仪大黑简" w:cs="汉仪大黑简"/>
          <w:b w:val="0"/>
          <w:color w:val="auto"/>
          <w:sz w:val="28"/>
          <w:szCs w:val="28"/>
          <w:highlight w:val="none"/>
        </w:rPr>
        <w:t>安徽省建设工程造价咨询合同</w:t>
      </w:r>
      <w:bookmarkEnd w:id="101"/>
      <w:bookmarkEnd w:id="102"/>
      <w:bookmarkEnd w:id="103"/>
      <w:bookmarkEnd w:id="104"/>
      <w:bookmarkEnd w:id="105"/>
      <w:r>
        <w:rPr>
          <w:rFonts w:hint="eastAsia" w:ascii="汉仪大黑简" w:hAnsi="汉仪大黑简" w:eastAsia="汉仪大黑简" w:cs="汉仪大黑简"/>
          <w:b w:val="0"/>
          <w:color w:val="auto"/>
          <w:sz w:val="28"/>
          <w:szCs w:val="28"/>
          <w:highlight w:val="none"/>
        </w:rPr>
        <w:t>（ＷＦ－2014－05）</w:t>
      </w:r>
      <w:bookmarkEnd w:id="106"/>
      <w:bookmarkEnd w:id="107"/>
      <w:bookmarkEnd w:id="108"/>
    </w:p>
    <w:p w14:paraId="4E09C861">
      <w:pPr>
        <w:numPr>
          <w:ilvl w:val="0"/>
          <w:numId w:val="0"/>
        </w:numPr>
        <w:jc w:val="both"/>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w:t>
      </w:r>
      <w:r>
        <w:rPr>
          <w:rFonts w:hint="eastAsia" w:ascii="Times New Roman" w:hAnsi="Times New Roman" w:eastAsia="仿宋_GB2312"/>
          <w:color w:val="auto"/>
          <w:sz w:val="32"/>
          <w:szCs w:val="32"/>
          <w:highlight w:val="none"/>
        </w:rPr>
        <w:t>ＷＦ－</w:t>
      </w:r>
      <w:r>
        <w:rPr>
          <w:rFonts w:ascii="Times New Roman" w:hAnsi="Times New Roman" w:eastAsia="仿宋_GB2312"/>
          <w:color w:val="auto"/>
          <w:sz w:val="32"/>
          <w:szCs w:val="32"/>
          <w:highlight w:val="none"/>
        </w:rPr>
        <w:t>2014</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05</w:t>
      </w:r>
      <w:r>
        <w:rPr>
          <w:rFonts w:hint="eastAsia" w:ascii="Times New Roman" w:hAnsi="Times New Roman" w:eastAsia="仿宋_GB2312"/>
          <w:bCs/>
          <w:color w:val="auto"/>
          <w:sz w:val="32"/>
          <w:szCs w:val="32"/>
          <w:highlight w:val="none"/>
        </w:rPr>
        <w:t>）</w:t>
      </w:r>
    </w:p>
    <w:p w14:paraId="6828F4C7">
      <w:pPr>
        <w:pStyle w:val="2"/>
        <w:rPr>
          <w:rFonts w:hint="eastAsia"/>
          <w:color w:val="auto"/>
          <w:highlight w:val="none"/>
        </w:rPr>
      </w:pPr>
    </w:p>
    <w:p w14:paraId="0E77C047">
      <w:pPr>
        <w:pStyle w:val="34"/>
        <w:rPr>
          <w:rFonts w:hint="eastAsia"/>
          <w:color w:val="auto"/>
          <w:highlight w:val="none"/>
        </w:rPr>
      </w:pPr>
    </w:p>
    <w:p w14:paraId="727D886E">
      <w:pPr>
        <w:spacing w:line="360" w:lineRule="auto"/>
        <w:jc w:val="center"/>
        <w:rPr>
          <w:rFonts w:ascii="Times New Roman" w:hAnsi="Times New Roman" w:eastAsia="华文中宋"/>
          <w:b/>
          <w:color w:val="auto"/>
          <w:w w:val="90"/>
          <w:sz w:val="52"/>
          <w:szCs w:val="52"/>
          <w:highlight w:val="none"/>
        </w:rPr>
      </w:pPr>
      <w:r>
        <w:rPr>
          <w:rFonts w:hint="eastAsia" w:ascii="Times New Roman" w:hAnsi="Times New Roman" w:eastAsia="华文中宋"/>
          <w:b/>
          <w:color w:val="auto"/>
          <w:w w:val="90"/>
          <w:sz w:val="52"/>
          <w:szCs w:val="52"/>
          <w:highlight w:val="none"/>
        </w:rPr>
        <w:t>安徽省建设工程造价咨询合同</w:t>
      </w:r>
    </w:p>
    <w:p w14:paraId="62D2AB4C">
      <w:pPr>
        <w:spacing w:line="360" w:lineRule="auto"/>
        <w:jc w:val="center"/>
        <w:rPr>
          <w:rFonts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（示范文本）</w:t>
      </w:r>
    </w:p>
    <w:p w14:paraId="7EF5E3C7">
      <w:pPr>
        <w:jc w:val="center"/>
        <w:rPr>
          <w:rFonts w:hint="eastAsia" w:ascii="Times New Roman" w:hAnsi="Times New Roman" w:eastAsia="华文中宋"/>
          <w:b/>
          <w:color w:val="auto"/>
          <w:sz w:val="52"/>
          <w:szCs w:val="52"/>
          <w:highlight w:val="none"/>
        </w:rPr>
      </w:pPr>
    </w:p>
    <w:p w14:paraId="365056AF">
      <w:pPr>
        <w:jc w:val="center"/>
        <w:rPr>
          <w:rFonts w:ascii="Times New Roman" w:hAnsi="Times New Roman" w:eastAsia="楷体_GB2312"/>
          <w:b/>
          <w:color w:val="auto"/>
          <w:sz w:val="72"/>
          <w:szCs w:val="72"/>
          <w:highlight w:val="none"/>
        </w:rPr>
      </w:pPr>
    </w:p>
    <w:p w14:paraId="1595972C">
      <w:pPr>
        <w:spacing w:line="240" w:lineRule="exact"/>
        <w:jc w:val="center"/>
        <w:rPr>
          <w:rFonts w:ascii="Times New Roman" w:hAnsi="Times New Roman" w:eastAsia="楷体_GB2312"/>
          <w:b/>
          <w:color w:val="auto"/>
          <w:sz w:val="72"/>
          <w:szCs w:val="72"/>
          <w:highlight w:val="none"/>
        </w:rPr>
      </w:pPr>
    </w:p>
    <w:p w14:paraId="67959E43">
      <w:pPr>
        <w:spacing w:line="240" w:lineRule="exact"/>
        <w:jc w:val="center"/>
        <w:rPr>
          <w:rFonts w:ascii="Times New Roman" w:hAnsi="Times New Roman" w:eastAsia="楷体_GB2312"/>
          <w:b/>
          <w:color w:val="auto"/>
          <w:sz w:val="72"/>
          <w:szCs w:val="72"/>
          <w:highlight w:val="none"/>
        </w:rPr>
      </w:pPr>
    </w:p>
    <w:p w14:paraId="3A099864">
      <w:pPr>
        <w:pStyle w:val="2"/>
        <w:rPr>
          <w:rFonts w:ascii="Times New Roman" w:hAnsi="Times New Roman" w:eastAsia="楷体_GB2312"/>
          <w:b/>
          <w:color w:val="auto"/>
          <w:sz w:val="72"/>
          <w:szCs w:val="72"/>
          <w:highlight w:val="none"/>
        </w:rPr>
      </w:pPr>
    </w:p>
    <w:p w14:paraId="09DCF2AE">
      <w:pPr>
        <w:spacing w:line="240" w:lineRule="exact"/>
        <w:jc w:val="both"/>
        <w:rPr>
          <w:rFonts w:ascii="Times New Roman" w:hAnsi="Times New Roman" w:eastAsia="楷体_GB2312"/>
          <w:b/>
          <w:color w:val="auto"/>
          <w:sz w:val="72"/>
          <w:szCs w:val="72"/>
          <w:highlight w:val="none"/>
        </w:rPr>
      </w:pPr>
    </w:p>
    <w:p w14:paraId="4C4B50BB">
      <w:pPr>
        <w:spacing w:line="240" w:lineRule="exact"/>
        <w:jc w:val="center"/>
        <w:rPr>
          <w:rFonts w:ascii="Times New Roman" w:hAnsi="Times New Roman" w:eastAsia="楷体_GB2312"/>
          <w:b/>
          <w:color w:val="auto"/>
          <w:sz w:val="72"/>
          <w:szCs w:val="72"/>
          <w:highlight w:val="none"/>
        </w:rPr>
      </w:pPr>
    </w:p>
    <w:p w14:paraId="3DA7C4DD">
      <w:pPr>
        <w:spacing w:line="800" w:lineRule="exact"/>
        <w:ind w:firstLine="1066" w:firstLineChars="295"/>
        <w:rPr>
          <w:rFonts w:ascii="Calibri" w:hAnsi="Calibri" w:eastAsia="楷体_GB2312"/>
          <w:b/>
          <w:bCs/>
          <w:color w:val="auto"/>
          <w:sz w:val="36"/>
          <w:szCs w:val="30"/>
          <w:highlight w:val="none"/>
          <w:u w:val="single"/>
        </w:rPr>
      </w:pPr>
      <w:r>
        <w:rPr>
          <w:rFonts w:hint="eastAsia" w:eastAsia="楷体_GB2312"/>
          <w:b/>
          <w:color w:val="auto"/>
          <w:sz w:val="36"/>
          <w:szCs w:val="30"/>
          <w:highlight w:val="none"/>
        </w:rPr>
        <w:t>合同编号：</w:t>
      </w:r>
      <w:r>
        <w:rPr>
          <w:rFonts w:eastAsia="楷体_GB2312"/>
          <w:b/>
          <w:color w:val="auto"/>
          <w:sz w:val="36"/>
          <w:szCs w:val="30"/>
          <w:highlight w:val="none"/>
          <w:u w:val="single"/>
        </w:rPr>
        <w:t xml:space="preserve">                         </w:t>
      </w:r>
    </w:p>
    <w:p w14:paraId="75B6E2CA">
      <w:pPr>
        <w:pStyle w:val="26"/>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签订地点：</w:t>
      </w:r>
      <w:r>
        <w:rPr>
          <w:rFonts w:eastAsia="楷体_GB2312"/>
          <w:b/>
          <w:color w:val="auto"/>
          <w:sz w:val="36"/>
          <w:szCs w:val="30"/>
          <w:highlight w:val="none"/>
          <w:u w:val="single"/>
        </w:rPr>
        <w:t xml:space="preserve">                         </w:t>
      </w:r>
    </w:p>
    <w:p w14:paraId="00E9F180">
      <w:pPr>
        <w:pStyle w:val="26"/>
        <w:spacing w:line="800" w:lineRule="exact"/>
        <w:ind w:left="0" w:leftChars="0" w:firstLine="1066" w:firstLineChars="295"/>
        <w:rPr>
          <w:b/>
          <w:color w:val="auto"/>
          <w:sz w:val="36"/>
          <w:szCs w:val="30"/>
          <w:highlight w:val="none"/>
        </w:rPr>
      </w:pPr>
      <w:r>
        <w:rPr>
          <w:rFonts w:hint="eastAsia" w:eastAsia="楷体_GB2312"/>
          <w:b/>
          <w:color w:val="auto"/>
          <w:sz w:val="36"/>
          <w:szCs w:val="30"/>
          <w:highlight w:val="none"/>
        </w:rPr>
        <w:t>签订时间：</w:t>
      </w:r>
      <w:r>
        <w:rPr>
          <w:rFonts w:eastAsia="楷体_GB2312"/>
          <w:b/>
          <w:color w:val="auto"/>
          <w:sz w:val="36"/>
          <w:szCs w:val="30"/>
          <w:highlight w:val="none"/>
          <w:u w:val="single"/>
        </w:rPr>
        <w:t xml:space="preserve">          </w:t>
      </w:r>
      <w:r>
        <w:rPr>
          <w:rFonts w:hint="eastAsia" w:eastAsia="楷体_GB2312"/>
          <w:b/>
          <w:color w:val="auto"/>
          <w:sz w:val="36"/>
          <w:szCs w:val="30"/>
          <w:highlight w:val="none"/>
        </w:rPr>
        <w:t>年</w:t>
      </w:r>
      <w:r>
        <w:rPr>
          <w:rFonts w:eastAsia="楷体_GB2312"/>
          <w:b/>
          <w:color w:val="auto"/>
          <w:sz w:val="36"/>
          <w:szCs w:val="30"/>
          <w:highlight w:val="none"/>
          <w:u w:val="single"/>
        </w:rPr>
        <w:t xml:space="preserve">     </w:t>
      </w:r>
      <w:r>
        <w:rPr>
          <w:rFonts w:hint="eastAsia" w:eastAsia="楷体_GB2312"/>
          <w:b/>
          <w:color w:val="auto"/>
          <w:sz w:val="36"/>
          <w:szCs w:val="30"/>
          <w:highlight w:val="none"/>
        </w:rPr>
        <w:t>月</w:t>
      </w:r>
      <w:r>
        <w:rPr>
          <w:rFonts w:eastAsia="楷体_GB2312"/>
          <w:b/>
          <w:color w:val="auto"/>
          <w:sz w:val="36"/>
          <w:szCs w:val="30"/>
          <w:highlight w:val="none"/>
          <w:u w:val="single"/>
        </w:rPr>
        <w:t xml:space="preserve">     </w:t>
      </w:r>
      <w:r>
        <w:rPr>
          <w:rFonts w:hint="eastAsia" w:eastAsia="楷体_GB2312"/>
          <w:b/>
          <w:color w:val="auto"/>
          <w:sz w:val="36"/>
          <w:szCs w:val="30"/>
          <w:highlight w:val="none"/>
        </w:rPr>
        <w:t>日</w:t>
      </w:r>
    </w:p>
    <w:p w14:paraId="4B09EF59">
      <w:pPr>
        <w:widowControl/>
        <w:spacing w:beforeAutospacing="1" w:afterAutospacing="1"/>
        <w:jc w:val="left"/>
        <w:rPr>
          <w:rFonts w:ascii="华文中宋" w:hAnsi="华文中宋" w:eastAsia="华文中宋"/>
          <w:color w:val="auto"/>
          <w:spacing w:val="20"/>
          <w:kern w:val="0"/>
          <w:sz w:val="32"/>
          <w:szCs w:val="32"/>
          <w:highlight w:val="none"/>
        </w:rPr>
        <w:sectPr>
          <w:footerReference r:id="rId10" w:type="default"/>
          <w:pgSz w:w="11906" w:h="16838"/>
          <w:pgMar w:top="1418" w:right="1418" w:bottom="1418" w:left="1418" w:header="851" w:footer="907" w:gutter="0"/>
          <w:pgNumType w:fmt="decimal"/>
          <w:cols w:space="720" w:num="1"/>
          <w:docGrid w:type="lines" w:linePitch="312" w:charSpace="0"/>
        </w:sectPr>
      </w:pPr>
    </w:p>
    <w:p w14:paraId="1916ED76">
      <w:pPr>
        <w:pStyle w:val="6"/>
        <w:keepNext/>
        <w:keepLines/>
        <w:pageBreakBefore w:val="0"/>
        <w:widowControl w:val="0"/>
        <w:tabs>
          <w:tab w:val="left" w:pos="432"/>
        </w:tabs>
        <w:kinsoku/>
        <w:wordWrap/>
        <w:overflowPunct/>
        <w:topLinePunct w:val="0"/>
        <w:autoSpaceDE/>
        <w:autoSpaceDN/>
        <w:bidi w:val="0"/>
        <w:adjustRightInd/>
        <w:snapToGrid/>
        <w:spacing w:before="161" w:beforeLines="50" w:after="161" w:afterLines="50" w:line="440" w:lineRule="exact"/>
        <w:jc w:val="center"/>
        <w:textAlignment w:val="auto"/>
        <w:rPr>
          <w:rFonts w:hint="eastAsia" w:ascii="宋体" w:hAnsi="宋体" w:eastAsia="宋体" w:cs="宋体"/>
          <w:color w:val="auto"/>
          <w:sz w:val="28"/>
          <w:szCs w:val="28"/>
          <w:highlight w:val="none"/>
        </w:rPr>
      </w:pPr>
      <w:bookmarkStart w:id="109" w:name="_Toc407261892"/>
      <w:r>
        <w:rPr>
          <w:rFonts w:hint="eastAsia" w:ascii="宋体" w:hAnsi="宋体" w:eastAsia="宋体" w:cs="宋体"/>
          <w:color w:val="auto"/>
          <w:sz w:val="28"/>
          <w:szCs w:val="28"/>
          <w:highlight w:val="none"/>
        </w:rPr>
        <w:t>第一部分  合同协议书</w:t>
      </w:r>
      <w:bookmarkEnd w:id="109"/>
    </w:p>
    <w:p w14:paraId="66B79EB7">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委托人（全称）：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p>
    <w:p w14:paraId="0C2A81FB">
      <w:pPr>
        <w:keepNext w:val="0"/>
        <w:keepLines w:val="0"/>
        <w:pageBreakBefore w:val="0"/>
        <w:widowControl w:val="0"/>
        <w:kinsoku/>
        <w:wordWrap/>
        <w:overflowPunct/>
        <w:topLinePunct w:val="0"/>
        <w:bidi w:val="0"/>
        <w:adjustRightInd w:val="0"/>
        <w:snapToGrid w:val="0"/>
        <w:spacing w:line="460" w:lineRule="exact"/>
        <w:ind w:left="-199" w:leftChars="-95" w:right="-185" w:rightChars="-88"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咨询人（全称）：</w:t>
      </w:r>
      <w:r>
        <w:rPr>
          <w:rFonts w:hint="eastAsia" w:ascii="宋体" w:hAnsi="宋体" w:eastAsia="宋体" w:cs="宋体"/>
          <w:b/>
          <w:color w:val="auto"/>
          <w:sz w:val="21"/>
          <w:szCs w:val="21"/>
          <w:highlight w:val="none"/>
          <w:u w:val="single"/>
        </w:rPr>
        <w:t xml:space="preserve">                                  </w:t>
      </w:r>
    </w:p>
    <w:p w14:paraId="661D166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工程造价咨询及有关事项协商一致，共同达成如下协议：</w:t>
      </w:r>
    </w:p>
    <w:p w14:paraId="7069EFD8">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203B3C7">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 </w:t>
      </w:r>
      <w:r>
        <w:rPr>
          <w:rFonts w:hint="eastAsia" w:ascii="宋体" w:hAnsi="宋体" w:eastAsia="宋体" w:cs="宋体"/>
          <w:bCs/>
          <w:color w:val="auto"/>
          <w:sz w:val="21"/>
          <w:szCs w:val="21"/>
          <w:highlight w:val="none"/>
        </w:rPr>
        <w:t>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C130B4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 </w:t>
      </w:r>
      <w:r>
        <w:rPr>
          <w:rFonts w:hint="eastAsia" w:ascii="宋体" w:hAnsi="宋体" w:eastAsia="宋体" w:cs="宋体"/>
          <w:bCs/>
          <w:color w:val="auto"/>
          <w:sz w:val="21"/>
          <w:szCs w:val="21"/>
          <w:highlight w:val="none"/>
        </w:rPr>
        <w:t>工程地点：</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14:paraId="0C00E0D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bCs/>
          <w:color w:val="auto"/>
          <w:sz w:val="21"/>
          <w:szCs w:val="21"/>
          <w:highlight w:val="none"/>
        </w:rPr>
        <w:t>工程规模：</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1902B88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二、咨询业务范围</w:t>
      </w:r>
    </w:p>
    <w:p w14:paraId="333F84C5">
      <w:pPr>
        <w:spacing w:line="460" w:lineRule="exact"/>
        <w:ind w:left="-199" w:leftChars="-95" w:right="-185" w:rightChars="-88"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u w:val="single"/>
        </w:rPr>
        <w:t>1、包括但不限于工程量清单及最高投标限价编制</w:t>
      </w:r>
      <w:r>
        <w:rPr>
          <w:rFonts w:hint="eastAsia" w:ascii="宋体" w:hAnsi="宋体" w:cs="宋体"/>
          <w:bCs/>
          <w:color w:val="auto"/>
          <w:szCs w:val="21"/>
          <w:highlight w:val="none"/>
          <w:u w:val="single"/>
        </w:rPr>
        <w:t>；</w:t>
      </w:r>
    </w:p>
    <w:p w14:paraId="0CC4C25D">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default" w:ascii="宋体" w:hAnsi="宋体" w:eastAsia="宋体" w:cs="宋体"/>
          <w:bCs/>
          <w:color w:val="auto"/>
          <w:sz w:val="21"/>
          <w:szCs w:val="21"/>
          <w:highlight w:val="none"/>
          <w:u w:val="single"/>
          <w:lang w:val="en-US" w:eastAsia="zh-CN"/>
        </w:rPr>
      </w:pP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w:t>
      </w:r>
      <w:r>
        <w:rPr>
          <w:rFonts w:hint="eastAsia" w:ascii="宋体" w:hAnsi="宋体" w:cs="宋体"/>
          <w:bCs/>
          <w:color w:val="auto"/>
          <w:szCs w:val="21"/>
          <w:highlight w:val="none"/>
          <w:u w:val="single"/>
        </w:rPr>
        <w:t>提供驻场服务等项目过程中有关一切造价的咨询服务。</w:t>
      </w:r>
    </w:p>
    <w:p w14:paraId="1F5DFB6D">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三、咨询期限</w:t>
      </w:r>
    </w:p>
    <w:p w14:paraId="0B7B98F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计划开始日期：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20CEBD1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计划结束日期：</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4456F424">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四、质量标准</w:t>
      </w:r>
    </w:p>
    <w:p w14:paraId="4FF8AB06">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工程造价咨询成果文件质量符合</w:t>
      </w:r>
      <w:r>
        <w:rPr>
          <w:rFonts w:hint="eastAsia" w:ascii="宋体" w:hAnsi="宋体" w:eastAsia="宋体" w:cs="宋体"/>
          <w:b/>
          <w:bCs/>
          <w:color w:val="auto"/>
          <w:sz w:val="21"/>
          <w:szCs w:val="21"/>
          <w:highlight w:val="none"/>
          <w:u w:val="single"/>
          <w:lang w:val="en-US" w:eastAsia="zh-CN"/>
        </w:rPr>
        <w:t>中国建设工程造价管理协会《建设工程造价咨询成果文件质量标准》（CECA/GC7-2012）的合格标准</w:t>
      </w:r>
      <w:r>
        <w:rPr>
          <w:rFonts w:hint="eastAsia" w:ascii="宋体" w:hAnsi="宋体" w:eastAsia="宋体" w:cs="宋体"/>
          <w:color w:val="auto"/>
          <w:sz w:val="21"/>
          <w:szCs w:val="21"/>
          <w:highlight w:val="none"/>
          <w:lang w:val="en-US" w:eastAsia="zh-CN"/>
        </w:rPr>
        <w:t>和委托人要求</w:t>
      </w:r>
      <w:r>
        <w:rPr>
          <w:rFonts w:hint="eastAsia" w:ascii="宋体" w:hAnsi="宋体" w:eastAsia="宋体" w:cs="宋体"/>
          <w:color w:val="auto"/>
          <w:sz w:val="21"/>
          <w:szCs w:val="21"/>
          <w:highlight w:val="none"/>
        </w:rPr>
        <w:t>。</w:t>
      </w:r>
    </w:p>
    <w:p w14:paraId="29A07BEB">
      <w:pPr>
        <w:keepNext w:val="0"/>
        <w:keepLines w:val="0"/>
        <w:pageBreakBefore w:val="0"/>
        <w:widowControl w:val="0"/>
        <w:numPr>
          <w:ilvl w:val="0"/>
          <w:numId w:val="2"/>
        </w:numPr>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rPr>
        <w:t>咨询酬金</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none"/>
        </w:rPr>
        <w:t>《安徽省建设工程造价咨询服务项目及收费标准》（皖价服〔2007〕86号）计算的费用×</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none"/>
        </w:rPr>
        <w:t xml:space="preserve">%   </w:t>
      </w:r>
    </w:p>
    <w:p w14:paraId="5C6F893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none"/>
        </w:rPr>
        <w:t>支付方式：</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 xml:space="preserve"> </w:t>
      </w:r>
    </w:p>
    <w:p w14:paraId="23A98D33">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、合同文件构成</w:t>
      </w:r>
    </w:p>
    <w:p w14:paraId="5342C82B">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本协议书与下列文件一起构成造价咨询合同文件：</w:t>
      </w:r>
    </w:p>
    <w:p w14:paraId="49C9CF61">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中标通知书（如果有）；</w:t>
      </w:r>
    </w:p>
    <w:p w14:paraId="6C50CBDE">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 xml:space="preserve">投标函及其附录（如果有）； </w:t>
      </w:r>
    </w:p>
    <w:p w14:paraId="74402F4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通用合同条款；</w:t>
      </w:r>
    </w:p>
    <w:p w14:paraId="7DB6C5E9">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z w:val="21"/>
          <w:szCs w:val="21"/>
          <w:highlight w:val="none"/>
        </w:rPr>
        <w:t>专用合同条款。</w:t>
      </w:r>
    </w:p>
    <w:p w14:paraId="0261E531">
      <w:pPr>
        <w:keepNext w:val="0"/>
        <w:keepLines w:val="0"/>
        <w:pageBreakBefore w:val="0"/>
        <w:widowControl w:val="0"/>
        <w:kinsoku/>
        <w:wordWrap/>
        <w:overflowPunct/>
        <w:topLinePunct w:val="0"/>
        <w:autoSpaceDE w:val="0"/>
        <w:autoSpaceDN w:val="0"/>
        <w:bidi w:val="0"/>
        <w:adjustRightInd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2B70E28C">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3E086C0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、词语含义</w:t>
      </w:r>
    </w:p>
    <w:p w14:paraId="1C44B248">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本协议书中词语含义与第二部分通用合同条款中赋予的含义相同。</w:t>
      </w:r>
    </w:p>
    <w:p w14:paraId="6C0DBF1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、签订时间</w:t>
      </w:r>
    </w:p>
    <w:p w14:paraId="2AF57E3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bCs/>
          <w:color w:val="auto"/>
          <w:sz w:val="21"/>
          <w:szCs w:val="21"/>
          <w:highlight w:val="none"/>
        </w:rPr>
        <w:t>签订</w:t>
      </w:r>
      <w:r>
        <w:rPr>
          <w:rFonts w:hint="eastAsia" w:ascii="宋体" w:hAnsi="宋体" w:eastAsia="宋体" w:cs="宋体"/>
          <w:color w:val="auto"/>
          <w:sz w:val="21"/>
          <w:szCs w:val="21"/>
          <w:highlight w:val="none"/>
        </w:rPr>
        <w:t>。</w:t>
      </w:r>
    </w:p>
    <w:p w14:paraId="20FDF25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、签订地点</w:t>
      </w:r>
    </w:p>
    <w:p w14:paraId="6970B6C6">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w:t>
      </w:r>
    </w:p>
    <w:p w14:paraId="2D7B95EA">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十、补充协议</w:t>
      </w:r>
    </w:p>
    <w:p w14:paraId="78569D4E">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合同未尽事宜，合同当事人另行签订补充协议，补充协议是合同的组成部分。</w:t>
      </w:r>
    </w:p>
    <w:p w14:paraId="34170398">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、合同生效</w:t>
      </w:r>
    </w:p>
    <w:p w14:paraId="68FF0DA5">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3B8BE615">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、合同份数</w:t>
      </w:r>
    </w:p>
    <w:p w14:paraId="76B34D90">
      <w:pPr>
        <w:keepNext w:val="0"/>
        <w:keepLines w:val="0"/>
        <w:pageBreakBefore w:val="0"/>
        <w:widowControl w:val="0"/>
        <w:kinsoku/>
        <w:wordWrap/>
        <w:overflowPunct/>
        <w:topLinePunct w:val="0"/>
        <w:bidi w:val="0"/>
        <w:spacing w:line="460" w:lineRule="exact"/>
        <w:ind w:left="-199" w:leftChars="-95" w:right="-185" w:rightChars="-88"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份，均具有同等法律效力，委托人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份，咨询人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52A022B1">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14:paraId="2C56532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bCs/>
          <w:color w:val="auto"/>
          <w:sz w:val="21"/>
          <w:szCs w:val="21"/>
          <w:highlight w:val="none"/>
        </w:rPr>
      </w:pPr>
    </w:p>
    <w:p w14:paraId="1F6B9E2E">
      <w:pPr>
        <w:keepNext w:val="0"/>
        <w:keepLines w:val="0"/>
        <w:pageBreakBefore w:val="0"/>
        <w:widowControl w:val="0"/>
        <w:tabs>
          <w:tab w:val="left" w:pos="4830"/>
        </w:tabs>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  (公章)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咨询人：  (公章)</w:t>
      </w:r>
    </w:p>
    <w:p w14:paraId="22AF190E">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14:paraId="763BBD6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7C3632E3">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220DC75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p>
    <w:p w14:paraId="76968D0F">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14:paraId="7A70311A">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535F5B0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30999047">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50D46C47">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32729449">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61C7ECFA">
      <w:pPr>
        <w:keepNext w:val="0"/>
        <w:keepLines w:val="0"/>
        <w:pageBreakBefore w:val="0"/>
        <w:widowControl w:val="0"/>
        <w:kinsoku/>
        <w:wordWrap/>
        <w:overflowPunct/>
        <w:topLinePunct w:val="0"/>
        <w:bidi w:val="0"/>
        <w:spacing w:line="460" w:lineRule="exact"/>
        <w:ind w:left="-199" w:leftChars="-95" w:right="-185" w:rightChars="-8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751D1674">
      <w:pPr>
        <w:pageBreakBefore w:val="0"/>
        <w:widowControl/>
        <w:numPr>
          <w:ilvl w:val="0"/>
          <w:numId w:val="3"/>
        </w:numPr>
        <w:kinsoku/>
        <w:wordWrap/>
        <w:overflowPunct/>
        <w:topLinePunct w:val="0"/>
        <w:bidi w:val="0"/>
        <w:spacing w:line="440" w:lineRule="exact"/>
        <w:ind w:left="-199" w:leftChars="-95" w:right="-185" w:rightChars="-88" w:firstLine="0" w:firstLineChars="0"/>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0"/>
          <w:sz w:val="21"/>
          <w:szCs w:val="21"/>
          <w:highlight w:val="none"/>
        </w:rPr>
        <w:br w:type="page"/>
      </w:r>
      <w:bookmarkStart w:id="110" w:name="_Toc407261893"/>
      <w:r>
        <w:rPr>
          <w:rFonts w:hint="eastAsia" w:ascii="宋体" w:hAnsi="宋体" w:eastAsia="宋体" w:cs="宋体"/>
          <w:b/>
          <w:bCs/>
          <w:color w:val="auto"/>
          <w:kern w:val="44"/>
          <w:sz w:val="28"/>
          <w:szCs w:val="28"/>
          <w:highlight w:val="none"/>
          <w:lang w:val="en-US" w:eastAsia="zh-CN" w:bidi="ar-SA"/>
        </w:rPr>
        <w:t xml:space="preserve"> 通用合同条款</w:t>
      </w:r>
      <w:bookmarkEnd w:id="110"/>
      <w:bookmarkStart w:id="111" w:name="_Toc407261894"/>
    </w:p>
    <w:bookmarkEnd w:id="111"/>
    <w:p w14:paraId="7769EB2C">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执行安徽省住房和城乡建设厅和</w:t>
      </w:r>
      <w:r>
        <w:rPr>
          <w:rFonts w:hint="eastAsia" w:ascii="宋体" w:hAnsi="宋体" w:eastAsia="宋体" w:cs="宋体"/>
          <w:b/>
          <w:color w:val="auto"/>
          <w:spacing w:val="20"/>
          <w:sz w:val="24"/>
          <w:szCs w:val="24"/>
          <w:highlight w:val="none"/>
        </w:rPr>
        <w:t>安徽省工商行政管理局联合制定的、2014年12月23日颁布实施的《安徽省建设工程造价咨询合同》</w:t>
      </w:r>
      <w:r>
        <w:rPr>
          <w:rFonts w:hint="eastAsia" w:ascii="宋体" w:hAnsi="宋体" w:eastAsia="宋体" w:cs="宋体"/>
          <w:b/>
          <w:color w:val="auto"/>
          <w:sz w:val="24"/>
          <w:szCs w:val="24"/>
          <w:highlight w:val="none"/>
        </w:rPr>
        <w:t>（编号：ＷＦ－2014－05）中的“通用合同条款”。</w:t>
      </w:r>
    </w:p>
    <w:p w14:paraId="3E75B444">
      <w:pPr>
        <w:keepNext w:val="0"/>
        <w:keepLines w:val="0"/>
        <w:pageBreakBefore w:val="0"/>
        <w:widowControl w:val="0"/>
        <w:kinsoku/>
        <w:wordWrap/>
        <w:overflowPunct/>
        <w:topLinePunct w:val="0"/>
        <w:autoSpaceDE/>
        <w:autoSpaceDN/>
        <w:bidi w:val="0"/>
        <w:adjustRightInd/>
        <w:snapToGrid/>
        <w:spacing w:before="161" w:beforeLines="50" w:after="161" w:afterLines="50" w:line="440" w:lineRule="exact"/>
        <w:ind w:left="-199" w:leftChars="-95" w:right="-185" w:rightChars="-88"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br w:type="page"/>
      </w:r>
      <w:bookmarkStart w:id="112" w:name="_Toc407261943"/>
      <w:r>
        <w:rPr>
          <w:rFonts w:hint="eastAsia" w:ascii="宋体" w:hAnsi="宋体" w:eastAsia="宋体" w:cs="宋体"/>
          <w:b/>
          <w:bCs/>
          <w:color w:val="auto"/>
          <w:kern w:val="44"/>
          <w:sz w:val="28"/>
          <w:szCs w:val="28"/>
          <w:highlight w:val="none"/>
        </w:rPr>
        <w:t>第三部分  专用合同条款</w:t>
      </w:r>
      <w:bookmarkEnd w:id="112"/>
      <w:bookmarkStart w:id="113" w:name="_Toc351203633"/>
      <w:bookmarkStart w:id="114" w:name="_Toc407261944"/>
    </w:p>
    <w:p w14:paraId="709F06D5">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bookmarkStart w:id="115" w:name="_Toc296347155"/>
      <w:bookmarkStart w:id="116" w:name="_Toc296891196"/>
      <w:bookmarkStart w:id="117" w:name="_Toc296944495"/>
      <w:bookmarkStart w:id="118" w:name="_Toc297120456"/>
      <w:bookmarkStart w:id="119" w:name="_Toc296503156"/>
      <w:bookmarkStart w:id="120" w:name="_Toc296890984"/>
      <w:bookmarkStart w:id="121" w:name="_Toc292559361"/>
      <w:bookmarkStart w:id="122" w:name="_Toc297048342"/>
      <w:bookmarkStart w:id="123" w:name="_Toc292559866"/>
      <w:bookmarkStart w:id="124" w:name="_Toc296346657"/>
      <w:r>
        <w:rPr>
          <w:rFonts w:hint="eastAsia" w:ascii="宋体" w:hAnsi="宋体" w:eastAsia="宋体" w:cs="宋体"/>
          <w:b/>
          <w:bCs/>
          <w:color w:val="auto"/>
          <w:sz w:val="21"/>
          <w:szCs w:val="21"/>
          <w:highlight w:val="none"/>
        </w:rPr>
        <w:t>. 一般约定</w:t>
      </w:r>
      <w:bookmarkEnd w:id="113"/>
      <w:bookmarkEnd w:id="114"/>
    </w:p>
    <w:bookmarkEnd w:id="115"/>
    <w:bookmarkEnd w:id="116"/>
    <w:bookmarkEnd w:id="117"/>
    <w:bookmarkEnd w:id="118"/>
    <w:bookmarkEnd w:id="119"/>
    <w:bookmarkEnd w:id="120"/>
    <w:bookmarkEnd w:id="121"/>
    <w:bookmarkEnd w:id="122"/>
    <w:bookmarkEnd w:id="123"/>
    <w:bookmarkEnd w:id="124"/>
    <w:p w14:paraId="3F71179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1.3法律</w:t>
      </w:r>
    </w:p>
    <w:p w14:paraId="457FC80C">
      <w:pPr>
        <w:pageBreakBefore w:val="0"/>
        <w:kinsoku/>
        <w:wordWrap/>
        <w:overflowPunct/>
        <w:topLinePunct w:val="0"/>
        <w:autoSpaceDE w:val="0"/>
        <w:autoSpaceDN w:val="0"/>
        <w:bidi w:val="0"/>
        <w:adjustRightInd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53E9E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标准和规范</w:t>
      </w:r>
    </w:p>
    <w:p w14:paraId="4ED9C40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适用于工程造价咨询的标准规范包括：</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 xml:space="preserve"> 。</w:t>
      </w:r>
    </w:p>
    <w:p w14:paraId="7496667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 合同文件的优先顺序</w:t>
      </w:r>
    </w:p>
    <w:p w14:paraId="2B6A749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同通用条款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13A4136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联络</w:t>
      </w:r>
    </w:p>
    <w:p w14:paraId="41089B3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1.6.1</w:t>
      </w:r>
      <w:r>
        <w:rPr>
          <w:rFonts w:hint="eastAsia" w:ascii="宋体" w:hAnsi="宋体" w:eastAsia="宋体" w:cs="宋体"/>
          <w:color w:val="auto"/>
          <w:kern w:val="0"/>
          <w:sz w:val="21"/>
          <w:szCs w:val="21"/>
          <w:highlight w:val="none"/>
        </w:rPr>
        <w:t>委托人和咨询人应当在</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8AC7D9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1.6.2</w:t>
      </w:r>
      <w:r>
        <w:rPr>
          <w:rFonts w:hint="eastAsia" w:ascii="宋体" w:hAnsi="宋体" w:eastAsia="宋体" w:cs="宋体"/>
          <w:color w:val="auto"/>
          <w:kern w:val="0"/>
          <w:sz w:val="21"/>
          <w:szCs w:val="21"/>
          <w:highlight w:val="none"/>
        </w:rPr>
        <w:t xml:space="preserve"> 委托人接收文件的地点：</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rPr>
        <w:t>；</w:t>
      </w:r>
    </w:p>
    <w:p w14:paraId="2CA30E9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委托人指定的接收人为：</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E1774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委托人指定的电子邮箱：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F71703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咨询人接收文件的地点：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0D81C9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咨询人指定的接收人为：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4486C6E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咨询人指定的电子邮箱：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D138940">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25" w:name="_Toc351203634"/>
      <w:bookmarkStart w:id="126" w:name="_Toc407261945"/>
      <w:r>
        <w:rPr>
          <w:rFonts w:hint="eastAsia" w:ascii="宋体" w:hAnsi="宋体" w:eastAsia="宋体" w:cs="宋体"/>
          <w:b/>
          <w:bCs/>
          <w:color w:val="auto"/>
          <w:sz w:val="21"/>
          <w:szCs w:val="21"/>
          <w:highlight w:val="none"/>
        </w:rPr>
        <w:t>2</w:t>
      </w:r>
      <w:bookmarkStart w:id="127" w:name="_Toc297120457"/>
      <w:bookmarkStart w:id="128" w:name="_Toc297048343"/>
      <w:bookmarkStart w:id="129" w:name="_Toc296944496"/>
      <w:bookmarkStart w:id="130" w:name="_Toc296890985"/>
      <w:bookmarkStart w:id="131" w:name="_Toc292559362"/>
      <w:bookmarkStart w:id="132" w:name="_Toc296346658"/>
      <w:bookmarkStart w:id="133" w:name="_Toc296347156"/>
      <w:bookmarkStart w:id="134" w:name="_Toc292559867"/>
      <w:bookmarkStart w:id="135" w:name="_Toc296891197"/>
      <w:bookmarkStart w:id="136" w:name="_Toc296503157"/>
      <w:r>
        <w:rPr>
          <w:rFonts w:hint="eastAsia" w:ascii="宋体" w:hAnsi="宋体" w:eastAsia="宋体" w:cs="宋体"/>
          <w:b/>
          <w:bCs/>
          <w:color w:val="auto"/>
          <w:sz w:val="21"/>
          <w:szCs w:val="21"/>
          <w:highlight w:val="none"/>
        </w:rPr>
        <w:t>. 委托人</w:t>
      </w:r>
      <w:bookmarkEnd w:id="125"/>
      <w:bookmarkEnd w:id="126"/>
    </w:p>
    <w:bookmarkEnd w:id="127"/>
    <w:bookmarkEnd w:id="128"/>
    <w:bookmarkEnd w:id="129"/>
    <w:bookmarkEnd w:id="130"/>
    <w:bookmarkEnd w:id="131"/>
    <w:bookmarkEnd w:id="132"/>
    <w:bookmarkEnd w:id="133"/>
    <w:bookmarkEnd w:id="134"/>
    <w:bookmarkEnd w:id="135"/>
    <w:bookmarkEnd w:id="136"/>
    <w:p w14:paraId="4E3BF7C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委托人代表</w:t>
      </w:r>
    </w:p>
    <w:p w14:paraId="26A9294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委托人代表：</w:t>
      </w:r>
    </w:p>
    <w:p w14:paraId="13CFE6A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461C43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02414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22F263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63E62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977C08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2C1DC4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委托人对委托人代表的授权范围如下：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BFF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提供资料</w:t>
      </w:r>
    </w:p>
    <w:p w14:paraId="52E4B07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委托人向咨询人提供的资料包括：</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图纸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1AF7DB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委托人向咨询人提供资料的期限为：</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86874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关于委托人向咨询人提供资料的特别约定：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BE0E1E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 答复</w:t>
      </w:r>
    </w:p>
    <w:p w14:paraId="24F558C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委托人对咨询人以书面形式提交并要求作出决定事宜的答复期限为：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D59F4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关于咨询人以书面形式提交并要求第三人作出决定的事宜，由委托人送达第三人的特别约定：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Start w:id="137" w:name="_Toc407261946"/>
    </w:p>
    <w:p w14:paraId="103C247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咨询人</w:t>
      </w:r>
      <w:bookmarkEnd w:id="137"/>
    </w:p>
    <w:p w14:paraId="485B963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项目负责人</w:t>
      </w:r>
    </w:p>
    <w:p w14:paraId="154A62E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0937BB9">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55393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造价工程师注册证书号：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0AC40B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9D0BE5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698054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045482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咨询人对项目负责人的授权范围如下：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FC29B7">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工程造价专业人员</w:t>
      </w:r>
    </w:p>
    <w:p w14:paraId="7EA3D13E">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3.3.1</w:t>
      </w:r>
      <w:r>
        <w:rPr>
          <w:rFonts w:hint="eastAsia" w:ascii="宋体" w:hAnsi="宋体" w:eastAsia="宋体" w:cs="宋体"/>
          <w:color w:val="auto"/>
          <w:sz w:val="21"/>
          <w:szCs w:val="21"/>
          <w:highlight w:val="none"/>
        </w:rPr>
        <w:t xml:space="preserve"> 咨询人提交工程造价专业人员任命文件及其注册证书或资格证书的期限：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DE54E34">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咨询人未提交</w:t>
      </w:r>
      <w:r>
        <w:rPr>
          <w:rFonts w:hint="eastAsia" w:ascii="宋体" w:hAnsi="宋体" w:eastAsia="宋体" w:cs="宋体"/>
          <w:color w:val="auto"/>
          <w:sz w:val="21"/>
          <w:szCs w:val="21"/>
          <w:highlight w:val="none"/>
        </w:rPr>
        <w:t>为工程造价专业人员缴纳的社会保险有效证明</w:t>
      </w:r>
      <w:r>
        <w:rPr>
          <w:rFonts w:hint="eastAsia" w:ascii="宋体" w:hAnsi="宋体" w:eastAsia="宋体" w:cs="宋体"/>
          <w:color w:val="auto"/>
          <w:kern w:val="0"/>
          <w:sz w:val="21"/>
          <w:szCs w:val="21"/>
          <w:highlight w:val="none"/>
        </w:rPr>
        <w:t>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A86D83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sz w:val="21"/>
          <w:szCs w:val="21"/>
          <w:highlight w:val="none"/>
        </w:rPr>
        <w:t xml:space="preserve"> 咨询人擅自更换工程造价专业人员的违约责任：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01EF06">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3.3.3</w:t>
      </w:r>
      <w:r>
        <w:rPr>
          <w:rFonts w:hint="eastAsia" w:ascii="宋体" w:hAnsi="宋体" w:eastAsia="宋体" w:cs="宋体"/>
          <w:color w:val="auto"/>
          <w:sz w:val="21"/>
          <w:szCs w:val="21"/>
          <w:highlight w:val="none"/>
        </w:rPr>
        <w:t xml:space="preserve"> 咨询人安排的工程造价专业人员</w:t>
      </w:r>
      <w:r>
        <w:rPr>
          <w:rFonts w:hint="eastAsia" w:ascii="宋体" w:hAnsi="宋体" w:eastAsia="宋体" w:cs="宋体"/>
          <w:color w:val="auto"/>
          <w:kern w:val="0"/>
          <w:sz w:val="21"/>
          <w:szCs w:val="21"/>
          <w:highlight w:val="none"/>
        </w:rPr>
        <w:t>每月在施工现场的时间要</w:t>
      </w:r>
      <w:r>
        <w:rPr>
          <w:rFonts w:hint="eastAsia" w:ascii="宋体" w:hAnsi="宋体" w:eastAsia="宋体" w:cs="宋体"/>
          <w:color w:val="auto"/>
          <w:kern w:val="0"/>
          <w:sz w:val="21"/>
          <w:szCs w:val="21"/>
          <w:highlight w:val="none"/>
          <w:lang w:val="en-US" w:eastAsia="zh-CN"/>
        </w:rPr>
        <w:t>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0F0423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工程造价专业人员</w:t>
      </w:r>
      <w:r>
        <w:rPr>
          <w:rFonts w:hint="eastAsia" w:ascii="宋体" w:hAnsi="宋体" w:eastAsia="宋体" w:cs="宋体"/>
          <w:color w:val="auto"/>
          <w:kern w:val="0"/>
          <w:sz w:val="21"/>
          <w:szCs w:val="21"/>
          <w:highlight w:val="none"/>
        </w:rPr>
        <w:t>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874DBB">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3.3.4</w:t>
      </w:r>
      <w:r>
        <w:rPr>
          <w:rFonts w:hint="eastAsia" w:ascii="宋体" w:hAnsi="宋体" w:eastAsia="宋体" w:cs="宋体"/>
          <w:color w:val="auto"/>
          <w:sz w:val="21"/>
          <w:szCs w:val="21"/>
          <w:highlight w:val="none"/>
        </w:rPr>
        <w:t xml:space="preserve"> 咨询人无正当理由拒绝撤换工程造价专业人员的违约责任：</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D5EA326">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38" w:name="_Toc407261947"/>
      <w:r>
        <w:rPr>
          <w:rFonts w:hint="eastAsia" w:ascii="宋体" w:hAnsi="宋体" w:eastAsia="宋体" w:cs="宋体"/>
          <w:b/>
          <w:bCs/>
          <w:color w:val="auto"/>
          <w:sz w:val="21"/>
          <w:szCs w:val="21"/>
          <w:highlight w:val="none"/>
        </w:rPr>
        <w:t>4. 咨询业务范围和工作内容</w:t>
      </w:r>
      <w:bookmarkEnd w:id="138"/>
    </w:p>
    <w:p w14:paraId="4AE2ACC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 咨询工作内容</w:t>
      </w:r>
    </w:p>
    <w:p w14:paraId="448F8D1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工程造价咨询工作内容包括：</w:t>
      </w:r>
      <w:r>
        <w:rPr>
          <w:rFonts w:hint="eastAsia" w:ascii="宋体" w:hAnsi="宋体" w:cs="宋体"/>
          <w:color w:val="auto"/>
          <w:szCs w:val="21"/>
          <w:highlight w:val="none"/>
          <w:u w:val="single"/>
          <w:lang w:val="en-US" w:eastAsia="zh-CN"/>
        </w:rPr>
        <w:t>包括但不限于</w:t>
      </w:r>
      <w:r>
        <w:rPr>
          <w:rFonts w:hint="eastAsia" w:ascii="宋体" w:hAnsi="宋体" w:eastAsia="宋体" w:cs="宋体"/>
          <w:color w:val="auto"/>
          <w:szCs w:val="21"/>
          <w:highlight w:val="none"/>
          <w:u w:val="single"/>
          <w:lang w:eastAsia="zh-CN"/>
        </w:rPr>
        <w:t>工程量清单及最高投标限价编制</w:t>
      </w:r>
      <w:r>
        <w:rPr>
          <w:rFonts w:hint="eastAsia" w:ascii="宋体" w:hAnsi="宋体" w:cs="宋体"/>
          <w:bCs/>
          <w:color w:val="auto"/>
          <w:sz w:val="21"/>
          <w:szCs w:val="21"/>
          <w:highlight w:val="none"/>
          <w:u w:val="single"/>
          <w:lang w:val="en-US" w:eastAsia="zh-CN"/>
        </w:rPr>
        <w:t>；提供驻场服务等项目过程中有关一切造价的咨询服务</w:t>
      </w:r>
      <w:r>
        <w:rPr>
          <w:rFonts w:hint="eastAsia" w:ascii="宋体" w:hAnsi="宋体" w:eastAsia="宋体" w:cs="宋体"/>
          <w:color w:val="auto"/>
          <w:sz w:val="21"/>
          <w:szCs w:val="21"/>
          <w:highlight w:val="none"/>
          <w:u w:val="single" w:color="auto"/>
        </w:rPr>
        <w:t>。</w:t>
      </w:r>
    </w:p>
    <w:p w14:paraId="4CEDE86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39" w:name="_Toc407261948"/>
      <w:r>
        <w:rPr>
          <w:rFonts w:hint="eastAsia" w:ascii="宋体" w:hAnsi="宋体" w:eastAsia="宋体" w:cs="宋体"/>
          <w:b/>
          <w:bCs/>
          <w:color w:val="auto"/>
          <w:sz w:val="21"/>
          <w:szCs w:val="21"/>
          <w:highlight w:val="none"/>
        </w:rPr>
        <w:t>5. 咨询期限</w:t>
      </w:r>
      <w:bookmarkEnd w:id="139"/>
    </w:p>
    <w:p w14:paraId="12AC793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5.2 咨询期限延误</w:t>
      </w:r>
    </w:p>
    <w:p w14:paraId="6F95B7AD">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5.2.1</w:t>
      </w:r>
      <w:r>
        <w:rPr>
          <w:rFonts w:hint="eastAsia" w:ascii="宋体" w:hAnsi="宋体" w:eastAsia="宋体" w:cs="宋体"/>
          <w:color w:val="auto"/>
          <w:sz w:val="21"/>
          <w:szCs w:val="21"/>
          <w:highlight w:val="none"/>
        </w:rPr>
        <w:t xml:space="preserve"> 因委托人原因导致咨询期限延误</w:t>
      </w:r>
    </w:p>
    <w:p w14:paraId="6E0C782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（6）因</w:t>
      </w:r>
      <w:r>
        <w:rPr>
          <w:rFonts w:hint="eastAsia" w:ascii="宋体" w:hAnsi="宋体" w:eastAsia="宋体" w:cs="宋体"/>
          <w:color w:val="auto"/>
          <w:sz w:val="21"/>
          <w:szCs w:val="21"/>
          <w:highlight w:val="none"/>
        </w:rPr>
        <w:t>委托人原因导致咨询期限延误的其他情形：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rPr>
        <w:t>。</w:t>
      </w:r>
    </w:p>
    <w:p w14:paraId="6A057D9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bookmarkStart w:id="140" w:name="_Toc303539127"/>
      <w:bookmarkStart w:id="141" w:name="_Toc297216177"/>
      <w:bookmarkStart w:id="142" w:name="_Toc300934970"/>
      <w:bookmarkStart w:id="143" w:name="_Toc304295548"/>
      <w:bookmarkStart w:id="144" w:name="_Toc297123518"/>
      <w:r>
        <w:rPr>
          <w:rFonts w:hint="eastAsia" w:ascii="宋体" w:hAnsi="宋体" w:eastAsia="宋体" w:cs="宋体"/>
          <w:bCs/>
          <w:color w:val="auto"/>
          <w:sz w:val="21"/>
          <w:szCs w:val="21"/>
          <w:highlight w:val="none"/>
        </w:rPr>
        <w:t>5.2.2</w:t>
      </w:r>
      <w:r>
        <w:rPr>
          <w:rFonts w:hint="eastAsia" w:ascii="宋体" w:hAnsi="宋体" w:eastAsia="宋体" w:cs="宋体"/>
          <w:color w:val="auto"/>
          <w:sz w:val="21"/>
          <w:szCs w:val="21"/>
          <w:highlight w:val="none"/>
        </w:rPr>
        <w:t xml:space="preserve"> 因咨询人原因导致咨询期限延误</w:t>
      </w:r>
    </w:p>
    <w:p w14:paraId="4029BD6F">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145" w:name="_Toc312678013"/>
      <w:bookmarkStart w:id="146" w:name="_Toc312677487"/>
      <w:bookmarkStart w:id="147" w:name="_Toc318581170"/>
      <w:r>
        <w:rPr>
          <w:rFonts w:hint="eastAsia" w:ascii="宋体" w:hAnsi="宋体" w:eastAsia="宋体" w:cs="宋体"/>
          <w:color w:val="auto"/>
          <w:sz w:val="21"/>
          <w:szCs w:val="21"/>
          <w:highlight w:val="none"/>
        </w:rPr>
        <w:t>咨询人原因造成咨询期限延误，逾期完成咨询业务违约金的计算方法为：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2000元/天  </w:t>
      </w:r>
      <w:r>
        <w:rPr>
          <w:rFonts w:hint="eastAsia" w:ascii="宋体" w:hAnsi="宋体" w:eastAsia="宋体" w:cs="宋体"/>
          <w:color w:val="auto"/>
          <w:sz w:val="21"/>
          <w:szCs w:val="21"/>
          <w:highlight w:val="none"/>
        </w:rPr>
        <w:t>。</w:t>
      </w:r>
      <w:bookmarkEnd w:id="140"/>
      <w:bookmarkEnd w:id="141"/>
      <w:bookmarkEnd w:id="142"/>
      <w:bookmarkEnd w:id="143"/>
      <w:bookmarkEnd w:id="144"/>
      <w:bookmarkEnd w:id="145"/>
      <w:bookmarkEnd w:id="146"/>
    </w:p>
    <w:bookmarkEnd w:id="147"/>
    <w:p w14:paraId="40BD8E52">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因咨询人原因造成咨询期限延误，</w:t>
      </w:r>
      <w:bookmarkStart w:id="148" w:name="_Toc312678014"/>
      <w:bookmarkStart w:id="149" w:name="_Toc318581171"/>
      <w:r>
        <w:rPr>
          <w:rFonts w:hint="eastAsia" w:ascii="宋体" w:hAnsi="宋体" w:eastAsia="宋体" w:cs="宋体"/>
          <w:color w:val="auto"/>
          <w:sz w:val="21"/>
          <w:szCs w:val="21"/>
          <w:highlight w:val="none"/>
        </w:rPr>
        <w:t>逾期完成咨询业务违约金的上限：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48"/>
    <w:bookmarkEnd w:id="149"/>
    <w:p w14:paraId="6B183C2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5.2.3</w:t>
      </w:r>
      <w:r>
        <w:rPr>
          <w:rFonts w:hint="eastAsia" w:ascii="宋体" w:hAnsi="宋体" w:eastAsia="宋体" w:cs="宋体"/>
          <w:color w:val="auto"/>
          <w:sz w:val="21"/>
          <w:szCs w:val="21"/>
          <w:highlight w:val="none"/>
        </w:rPr>
        <w:t xml:space="preserve"> 因第三人原因导致咨询期限延误</w:t>
      </w:r>
    </w:p>
    <w:p w14:paraId="60EF1537">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（3）因</w:t>
      </w:r>
      <w:r>
        <w:rPr>
          <w:rFonts w:hint="eastAsia" w:ascii="宋体" w:hAnsi="宋体" w:eastAsia="宋体" w:cs="宋体"/>
          <w:color w:val="auto"/>
          <w:sz w:val="21"/>
          <w:szCs w:val="21"/>
          <w:highlight w:val="none"/>
        </w:rPr>
        <w:t>第三人原因导致咨询期限延误的其他情形：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2A9965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5.3 工程造价咨询成果文件交付期限</w:t>
      </w:r>
    </w:p>
    <w:p w14:paraId="78FC04E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5.3.1</w:t>
      </w:r>
      <w:r>
        <w:rPr>
          <w:rFonts w:hint="eastAsia" w:ascii="宋体" w:hAnsi="宋体" w:eastAsia="宋体" w:cs="宋体"/>
          <w:color w:val="auto"/>
          <w:sz w:val="21"/>
          <w:szCs w:val="21"/>
          <w:highlight w:val="none"/>
        </w:rPr>
        <w:t>咨询人向委托人提交工程造价咨询成果文件的份数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满足招标人实际需求        </w:t>
      </w:r>
      <w:r>
        <w:rPr>
          <w:rFonts w:hint="eastAsia" w:ascii="宋体" w:hAnsi="宋体" w:eastAsia="宋体" w:cs="宋体"/>
          <w:color w:val="auto"/>
          <w:sz w:val="21"/>
          <w:szCs w:val="21"/>
          <w:highlight w:val="none"/>
        </w:rPr>
        <w:t>。</w:t>
      </w:r>
    </w:p>
    <w:p w14:paraId="752315F9">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委托人在收到咨询人提交的工程造价咨询成果文件后确认或提出修改意见的期限：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3天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6AD1B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5.3.2</w:t>
      </w:r>
      <w:r>
        <w:rPr>
          <w:rFonts w:hint="eastAsia" w:ascii="宋体" w:hAnsi="宋体" w:eastAsia="宋体" w:cs="宋体"/>
          <w:color w:val="auto"/>
          <w:sz w:val="21"/>
          <w:szCs w:val="21"/>
          <w:highlight w:val="none"/>
        </w:rPr>
        <w:t>因咨询人原因未能在合理的期限内完成工程计量与支付、合同价款调整等文件编制或审核，给委托人造成损失的违约责任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A1F5FE">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0" w:name="_Toc407261949"/>
      <w:r>
        <w:rPr>
          <w:rFonts w:hint="eastAsia" w:ascii="宋体" w:hAnsi="宋体" w:eastAsia="宋体" w:cs="宋体"/>
          <w:b/>
          <w:bCs/>
          <w:color w:val="auto"/>
          <w:sz w:val="21"/>
          <w:szCs w:val="21"/>
          <w:highlight w:val="none"/>
        </w:rPr>
        <w:t>6. 咨询质量</w:t>
      </w:r>
      <w:bookmarkEnd w:id="150"/>
    </w:p>
    <w:p w14:paraId="2EE914DA">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 质量要求</w:t>
      </w:r>
    </w:p>
    <w:p w14:paraId="080A1380">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工程造价咨询成果文件质量标准：</w:t>
      </w:r>
      <w:r>
        <w:rPr>
          <w:rFonts w:hint="eastAsia" w:ascii="宋体" w:hAnsi="宋体" w:eastAsia="宋体" w:cs="宋体"/>
          <w:color w:val="auto"/>
          <w:sz w:val="21"/>
          <w:szCs w:val="21"/>
          <w:highlight w:val="none"/>
          <w:u w:val="single"/>
        </w:rPr>
        <w:t xml:space="preserve">  《建设工程造价咨询成果文件质量标准》CECA/GC7-2012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3D2CEBE">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质量不合格处理</w:t>
      </w:r>
    </w:p>
    <w:p w14:paraId="418DA28E">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因咨询人原因造成工程造价咨询成果文件质量未达到合同约定标准，委托人相应减少咨询酬金的计算方法为：</w:t>
      </w:r>
      <w:r>
        <w:rPr>
          <w:rFonts w:hint="eastAsia" w:ascii="宋体" w:hAnsi="宋体" w:eastAsia="宋体" w:cs="宋体"/>
          <w:b/>
          <w:bCs/>
          <w:color w:val="auto"/>
          <w:szCs w:val="21"/>
          <w:highlight w:val="none"/>
          <w:u w:val="single"/>
          <w:lang w:val="en-US" w:eastAsia="zh-CN"/>
        </w:rPr>
        <w:t xml:space="preserve"> </w:t>
      </w:r>
      <w:r>
        <w:rPr>
          <w:rFonts w:hint="eastAsia" w:ascii="新宋体" w:hAnsi="新宋体" w:eastAsia="新宋体" w:cs="新宋体"/>
          <w:b/>
          <w:bCs/>
          <w:snapToGrid w:val="0"/>
          <w:color w:val="auto"/>
          <w:highlight w:val="none"/>
          <w:u w:val="single"/>
        </w:rPr>
        <w:t>项目招投标及施工过程中发现清单错漏项，工程量及最高投标限价编制发生漏算、错算等累计金额大于100万元的，处罚1万元人民币；累积金额到达300万元的，处罚5万元人民币；累积金额到达500万元的，处罚10万元人民币；累积金额到达800万元的，扣除剩余全部编制费用且永久禁止在本区域内服务，并报行业有关主管部门进行处罚（包含本区域内禁止进行投标活动）</w:t>
      </w:r>
      <w:r>
        <w:rPr>
          <w:rFonts w:hint="eastAsia" w:ascii="新宋体" w:hAnsi="新宋体" w:eastAsia="新宋体" w:cs="新宋体"/>
          <w:b/>
          <w:bCs/>
          <w:snapToGrid w:val="0"/>
          <w:color w:val="auto"/>
          <w:highlight w:val="none"/>
          <w:u w:val="single"/>
          <w:lang w:val="en-US" w:eastAsia="zh-CN"/>
        </w:rPr>
        <w:t>。</w:t>
      </w:r>
    </w:p>
    <w:p w14:paraId="56EEE674">
      <w:pPr>
        <w:pageBreakBefore w:val="0"/>
        <w:kinsoku/>
        <w:wordWrap/>
        <w:overflowPunct/>
        <w:topLinePunct w:val="0"/>
        <w:bidi w:val="0"/>
        <w:spacing w:line="440" w:lineRule="exact"/>
        <w:ind w:left="-199" w:leftChars="-95" w:right="-185" w:rightChars="-88" w:firstLine="0" w:firstLineChars="0"/>
        <w:jc w:val="left"/>
        <w:rPr>
          <w:rFonts w:hint="default"/>
          <w:color w:val="auto"/>
          <w:highlight w:val="none"/>
          <w:lang w:val="en-US" w:eastAsia="zh-CN"/>
        </w:rPr>
      </w:pPr>
      <w:r>
        <w:rPr>
          <w:rFonts w:hint="eastAsia" w:ascii="宋体" w:hAnsi="宋体" w:eastAsia="宋体" w:cs="宋体"/>
          <w:color w:val="auto"/>
          <w:sz w:val="21"/>
          <w:szCs w:val="21"/>
          <w:highlight w:val="none"/>
        </w:rPr>
        <w:t>因咨询人原因造成工程造价咨询成果文件质量不合格产生的损失赔偿额的计算方法为：</w:t>
      </w:r>
      <w:r>
        <w:rPr>
          <w:rFonts w:hint="eastAsia" w:ascii="宋体" w:hAnsi="宋体" w:eastAsia="宋体" w:cs="宋体"/>
          <w:b/>
          <w:bCs/>
          <w:color w:val="auto"/>
          <w:sz w:val="21"/>
          <w:szCs w:val="21"/>
          <w:highlight w:val="none"/>
          <w:u w:val="single"/>
          <w:lang w:val="en-US" w:eastAsia="zh-CN"/>
        </w:rPr>
        <w:t xml:space="preserve">          。</w:t>
      </w:r>
    </w:p>
    <w:p w14:paraId="75801FB9">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1" w:name="_Toc407261950"/>
      <w:r>
        <w:rPr>
          <w:rFonts w:hint="eastAsia" w:ascii="宋体" w:hAnsi="宋体" w:eastAsia="宋体" w:cs="宋体"/>
          <w:b/>
          <w:bCs/>
          <w:color w:val="auto"/>
          <w:sz w:val="21"/>
          <w:szCs w:val="21"/>
          <w:highlight w:val="none"/>
        </w:rPr>
        <w:t>7. 咨询酬金</w:t>
      </w:r>
      <w:bookmarkEnd w:id="151"/>
    </w:p>
    <w:p w14:paraId="75E77A28">
      <w:pPr>
        <w:pageBreakBefore w:val="0"/>
        <w:kinsoku/>
        <w:wordWrap/>
        <w:overflowPunct/>
        <w:topLinePunct w:val="0"/>
        <w:bidi w:val="0"/>
        <w:spacing w:line="440" w:lineRule="exact"/>
        <w:ind w:left="-199" w:leftChars="-95" w:right="-185" w:rightChars="-88" w:firstLine="0" w:firstLineChars="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7.1 酬金计算方式</w:t>
      </w:r>
      <w:r>
        <w:rPr>
          <w:rFonts w:hint="eastAsia" w:ascii="宋体" w:hAnsi="宋体" w:eastAsia="宋体" w:cs="宋体"/>
          <w:b/>
          <w:color w:val="auto"/>
          <w:sz w:val="21"/>
          <w:szCs w:val="21"/>
          <w:highlight w:val="none"/>
          <w:lang w:val="en-US" w:eastAsia="zh-CN"/>
        </w:rPr>
        <w:t xml:space="preserve">  </w:t>
      </w:r>
    </w:p>
    <w:p w14:paraId="207B5B6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val="en-US" w:eastAsia="zh-CN"/>
        </w:rPr>
        <w:t>咨询酬金其他计算方式：</w:t>
      </w:r>
      <w:r>
        <w:rPr>
          <w:rFonts w:hint="eastAsia" w:ascii="宋体" w:hAnsi="宋体" w:cs="宋体"/>
          <w:bCs/>
          <w:color w:val="auto"/>
          <w:sz w:val="21"/>
          <w:szCs w:val="21"/>
          <w:highlight w:val="none"/>
          <w:u w:val="single"/>
          <w:lang w:val="en-US" w:eastAsia="zh-CN"/>
        </w:rPr>
        <w:t xml:space="preserve"> 固定费率，工程量清单和最高投标限价编制费用=【最高投标限价-（暂列金+暂估价）】*相应费率*     %。请款时暂列金和暂估价均需扣除相应税金</w:t>
      </w:r>
      <w:r>
        <w:rPr>
          <w:rFonts w:hint="eastAsia" w:ascii="宋体" w:hAnsi="宋体" w:eastAsia="宋体" w:cs="宋体"/>
          <w:bCs/>
          <w:color w:val="auto"/>
          <w:sz w:val="21"/>
          <w:szCs w:val="21"/>
          <w:highlight w:val="none"/>
          <w:u w:val="single"/>
          <w:lang w:val="en-US" w:eastAsia="zh-CN"/>
        </w:rPr>
        <w:t>。</w:t>
      </w:r>
    </w:p>
    <w:p w14:paraId="32FBE01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7.1.2</w:t>
      </w:r>
      <w:r>
        <w:rPr>
          <w:rFonts w:hint="eastAsia" w:ascii="宋体" w:hAnsi="宋体" w:eastAsia="宋体" w:cs="宋体"/>
          <w:color w:val="auto"/>
          <w:sz w:val="21"/>
          <w:szCs w:val="21"/>
          <w:highlight w:val="none"/>
        </w:rPr>
        <w:t xml:space="preserve"> 基本酬金加绩效酬金</w:t>
      </w:r>
    </w:p>
    <w:p w14:paraId="0CA9D84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基本酬金比率：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DA37A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绩效酬金比率：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8A9D5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预付酬金</w:t>
      </w:r>
    </w:p>
    <w:p w14:paraId="7CA9BF3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E7171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预付酬金支付期限：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E43E6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委托人逾期支付预付酬金的违约金的计算方式：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83EDD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 酬金分段结算与支付</w:t>
      </w:r>
    </w:p>
    <w:p w14:paraId="5E33A06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7.3.1</w:t>
      </w:r>
      <w:r>
        <w:rPr>
          <w:rFonts w:hint="eastAsia" w:ascii="宋体" w:hAnsi="宋体" w:eastAsia="宋体" w:cs="宋体"/>
          <w:color w:val="auto"/>
          <w:sz w:val="21"/>
          <w:szCs w:val="21"/>
          <w:highlight w:val="none"/>
        </w:rPr>
        <w:t xml:space="preserve"> 酬金分段结算与支付的比例或金额：</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767D65">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咨询人提交酬金分段结算与支付申请书的期限：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86656">
      <w:pPr>
        <w:pageBreakBefore w:val="0"/>
        <w:kinsoku/>
        <w:wordWrap/>
        <w:overflowPunct/>
        <w:topLinePunct w:val="0"/>
        <w:bidi w:val="0"/>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7.3.2</w:t>
      </w:r>
      <w:r>
        <w:rPr>
          <w:rFonts w:hint="eastAsia" w:ascii="宋体" w:hAnsi="宋体" w:eastAsia="宋体" w:cs="宋体"/>
          <w:color w:val="auto"/>
          <w:sz w:val="21"/>
          <w:szCs w:val="21"/>
          <w:highlight w:val="none"/>
        </w:rPr>
        <w:t xml:space="preserve"> 委托人审核确认酬金分段结算与支付申请书并完成酬金支付的期限：</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CC7FD4">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7.4 酬金结清与支付</w:t>
      </w:r>
    </w:p>
    <w:p w14:paraId="1D83D38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7.4.1</w:t>
      </w:r>
      <w:r>
        <w:rPr>
          <w:rFonts w:hint="eastAsia" w:ascii="宋体" w:hAnsi="宋体" w:eastAsia="宋体" w:cs="宋体"/>
          <w:color w:val="auto"/>
          <w:sz w:val="21"/>
          <w:szCs w:val="21"/>
          <w:highlight w:val="none"/>
        </w:rPr>
        <w:t xml:space="preserve"> 咨询人提交酬金结清与支付申请书的期限：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C145AC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7.4.2</w:t>
      </w:r>
      <w:r>
        <w:rPr>
          <w:rFonts w:hint="eastAsia" w:ascii="宋体" w:hAnsi="宋体" w:eastAsia="宋体" w:cs="宋体"/>
          <w:color w:val="auto"/>
          <w:sz w:val="21"/>
          <w:szCs w:val="21"/>
          <w:highlight w:val="none"/>
        </w:rPr>
        <w:t xml:space="preserve"> 委托人审核确认酬金结清与支付申请书的期限：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AE5739">
      <w:pPr>
        <w:pageBreakBefore w:val="0"/>
        <w:kinsoku/>
        <w:wordWrap/>
        <w:overflowPunct/>
        <w:topLinePunct w:val="0"/>
        <w:bidi w:val="0"/>
        <w:spacing w:line="440" w:lineRule="exact"/>
        <w:ind w:left="-199" w:leftChars="-95" w:right="-185" w:rightChars="-88" w:firstLine="0" w:firstLineChars="0"/>
        <w:rPr>
          <w:rFonts w:hint="eastAsia" w:ascii="宋体" w:hAnsi="宋体" w:cs="宋体"/>
          <w:b/>
          <w:bCs/>
          <w:color w:val="auto"/>
          <w:szCs w:val="21"/>
          <w:highlight w:val="none"/>
          <w:u w:val="single"/>
          <w:lang w:val="en-US" w:eastAsia="zh-CN"/>
        </w:rPr>
      </w:pPr>
      <w:r>
        <w:rPr>
          <w:rFonts w:hint="eastAsia" w:ascii="宋体" w:hAnsi="宋体" w:eastAsia="宋体" w:cs="宋体"/>
          <w:color w:val="auto"/>
          <w:sz w:val="21"/>
          <w:szCs w:val="21"/>
          <w:highlight w:val="none"/>
        </w:rPr>
        <w:t>7.4.3 委托人完成酬金支付的期限：</w:t>
      </w:r>
      <w:r>
        <w:rPr>
          <w:rFonts w:hint="eastAsia" w:ascii="宋体" w:hAnsi="宋体" w:cs="宋体"/>
          <w:b/>
          <w:bCs/>
          <w:color w:val="auto"/>
          <w:sz w:val="21"/>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lang w:val="en-US" w:eastAsia="zh-CN"/>
        </w:rPr>
        <w:t xml:space="preserve"> </w:t>
      </w:r>
    </w:p>
    <w:p w14:paraId="7308E9D8">
      <w:pPr>
        <w:pStyle w:val="7"/>
        <w:keepNext/>
        <w:keepLines/>
        <w:pageBreakBefore w:val="0"/>
        <w:widowControl w:val="0"/>
        <w:numPr>
          <w:ilvl w:val="0"/>
          <w:numId w:val="0"/>
        </w:numPr>
        <w:kinsoku/>
        <w:wordWrap/>
        <w:overflowPunct/>
        <w:topLinePunct w:val="0"/>
        <w:autoSpaceDE/>
        <w:autoSpaceDN/>
        <w:bidi w:val="0"/>
        <w:adjustRightInd w:val="0"/>
        <w:snapToGrid/>
        <w:spacing w:before="97" w:beforeLines="30" w:after="97" w:afterLines="30" w:line="440" w:lineRule="exact"/>
        <w:ind w:leftChars="-95" w:right="-185" w:rightChars="-88"/>
        <w:jc w:val="left"/>
        <w:textAlignment w:val="baseline"/>
        <w:rPr>
          <w:rFonts w:hint="default" w:ascii="宋体" w:hAnsi="宋体" w:eastAsia="宋体" w:cs="宋体"/>
          <w:b w:val="0"/>
          <w:color w:val="auto"/>
          <w:sz w:val="21"/>
          <w:szCs w:val="21"/>
          <w:highlight w:val="none"/>
          <w:lang w:val="en-US" w:eastAsia="zh-CN"/>
        </w:rPr>
      </w:pPr>
      <w:bookmarkStart w:id="152" w:name="_Toc407261951"/>
      <w:r>
        <w:rPr>
          <w:rFonts w:hint="eastAsia" w:ascii="宋体" w:hAnsi="宋体" w:eastAsia="宋体" w:cs="宋体"/>
          <w:b/>
          <w:bCs/>
          <w:color w:val="auto"/>
          <w:kern w:val="2"/>
          <w:sz w:val="21"/>
          <w:szCs w:val="21"/>
          <w:highlight w:val="none"/>
          <w:lang w:val="en-US" w:eastAsia="zh-CN" w:bidi="ar-SA"/>
        </w:rPr>
        <w:t>8. 变更</w:t>
      </w:r>
      <w:bookmarkEnd w:id="152"/>
      <w:r>
        <w:rPr>
          <w:rFonts w:hint="eastAsia" w:ascii="宋体" w:hAnsi="宋体" w:eastAsia="宋体" w:cs="宋体"/>
          <w:b/>
          <w:bCs/>
          <w:color w:val="auto"/>
          <w:kern w:val="2"/>
          <w:sz w:val="21"/>
          <w:szCs w:val="21"/>
          <w:highlight w:val="none"/>
          <w:lang w:val="en-US" w:eastAsia="zh-CN" w:bidi="ar-SA"/>
        </w:rPr>
        <w:t xml:space="preserve">         </w:t>
      </w:r>
      <w:r>
        <w:rPr>
          <w:rFonts w:hint="eastAsia" w:ascii="宋体" w:hAnsi="宋体" w:eastAsia="宋体" w:cs="宋体"/>
          <w:b w:val="0"/>
          <w:color w:val="auto"/>
          <w:sz w:val="21"/>
          <w:szCs w:val="21"/>
          <w:highlight w:val="none"/>
          <w:lang w:val="en-US" w:eastAsia="zh-CN"/>
        </w:rPr>
        <w:t xml:space="preserve">     </w:t>
      </w:r>
    </w:p>
    <w:p w14:paraId="384DF4AC">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 变更的范围</w:t>
      </w:r>
    </w:p>
    <w:p w14:paraId="20BB7ED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（4）变更的其他情形：</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w:t>
      </w:r>
    </w:p>
    <w:p w14:paraId="73232086">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8.2 变更引起的咨询酬金和期限调整</w:t>
      </w:r>
    </w:p>
    <w:p w14:paraId="14344F73">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8.2.1 变更引起咨询酬金调整的计算方法: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C6B21F">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变更引起咨询期限调整的计算方法: </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A00AD2">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8.3 咨询人的合理化建议</w:t>
      </w:r>
      <w:r>
        <w:rPr>
          <w:rFonts w:hint="eastAsia" w:ascii="宋体" w:hAnsi="宋体" w:eastAsia="宋体" w:cs="宋体"/>
          <w:b/>
          <w:color w:val="auto"/>
          <w:sz w:val="21"/>
          <w:szCs w:val="21"/>
          <w:highlight w:val="none"/>
          <w:lang w:val="en-US" w:eastAsia="zh-CN"/>
        </w:rPr>
        <w:t xml:space="preserve"> </w:t>
      </w:r>
    </w:p>
    <w:p w14:paraId="0E1DAD01">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合理化建议奖励金额的比率：</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80EFB8">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合理化建议奖励的其他计算方法：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1F56FC4">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3" w:name="_Toc407261952"/>
      <w:r>
        <w:rPr>
          <w:rFonts w:hint="eastAsia" w:ascii="宋体" w:hAnsi="宋体" w:eastAsia="宋体" w:cs="宋体"/>
          <w:b/>
          <w:bCs/>
          <w:color w:val="auto"/>
          <w:sz w:val="21"/>
          <w:szCs w:val="21"/>
          <w:highlight w:val="none"/>
        </w:rPr>
        <w:t>9. 违约</w:t>
      </w:r>
      <w:bookmarkEnd w:id="153"/>
    </w:p>
    <w:p w14:paraId="29DB6FBB">
      <w:pPr>
        <w:pageBreakBefore w:val="0"/>
        <w:kinsoku/>
        <w:wordWrap/>
        <w:overflowPunct/>
        <w:topLinePunct w:val="0"/>
        <w:bidi w:val="0"/>
        <w:spacing w:line="440" w:lineRule="exact"/>
        <w:ind w:left="-199" w:leftChars="-95" w:right="-185" w:rightChars="-88"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9.1 委托人违约</w:t>
      </w:r>
    </w:p>
    <w:p w14:paraId="010D3DAF">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关于委托人违约解除合同的特别约定：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98AAD8">
      <w:pPr>
        <w:keepNext w:val="0"/>
        <w:keepLines w:val="0"/>
        <w:pageBreakBefore w:val="0"/>
        <w:widowControl w:val="0"/>
        <w:kinsoku/>
        <w:wordWrap/>
        <w:overflowPunct/>
        <w:topLinePunct w:val="0"/>
        <w:autoSpaceDE/>
        <w:autoSpaceDN/>
        <w:bidi w:val="0"/>
        <w:adjustRightInd/>
        <w:snapToGrid/>
        <w:spacing w:line="440" w:lineRule="exact"/>
        <w:ind w:left="-199" w:leftChars="-95" w:right="-185" w:rightChars="-88" w:firstLine="0" w:firstLineChars="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因委托人违约解除合同的，关于已完咨询业务酬金结算和付款的</w:t>
      </w:r>
      <w:r>
        <w:rPr>
          <w:rFonts w:hint="eastAsia" w:ascii="宋体" w:hAnsi="宋体" w:eastAsia="宋体" w:cs="宋体"/>
          <w:color w:val="auto"/>
          <w:sz w:val="21"/>
          <w:szCs w:val="21"/>
          <w:highlight w:val="none"/>
          <w:lang w:val="en-US" w:eastAsia="zh-CN"/>
        </w:rPr>
        <w:t>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DBD5492">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咨询人违约</w:t>
      </w:r>
    </w:p>
    <w:p w14:paraId="6ACFC5DA">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关于咨询人违约解除合同的特别约定：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FC3DAA">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因咨询人违约解除合同的，关于已完咨询业务酬金结算和付款的约定：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不予支付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1C73B">
      <w:pPr>
        <w:keepNext w:val="0"/>
        <w:keepLines w:val="0"/>
        <w:pageBreakBefore w:val="0"/>
        <w:widowControl/>
        <w:numPr>
          <w:ilvl w:val="0"/>
          <w:numId w:val="0"/>
        </w:numPr>
        <w:kinsoku/>
        <w:wordWrap/>
        <w:overflowPunct/>
        <w:topLinePunct w:val="0"/>
        <w:autoSpaceDE/>
        <w:autoSpaceDN/>
        <w:bidi w:val="0"/>
        <w:adjustRightInd/>
        <w:snapToGrid/>
        <w:spacing w:before="97" w:beforeLines="30" w:after="97" w:afterLines="30" w:line="440" w:lineRule="exact"/>
        <w:ind w:leftChars="-95" w:right="-185" w:rightChars="-88"/>
        <w:jc w:val="left"/>
        <w:textAlignment w:val="auto"/>
        <w:rPr>
          <w:rFonts w:hint="eastAsia" w:ascii="宋体" w:hAnsi="宋体" w:eastAsia="宋体" w:cs="宋体"/>
          <w:b/>
          <w:bCs/>
          <w:color w:val="auto"/>
          <w:sz w:val="21"/>
          <w:szCs w:val="21"/>
          <w:highlight w:val="none"/>
        </w:rPr>
      </w:pPr>
      <w:bookmarkStart w:id="154" w:name="_Toc407261953"/>
      <w:r>
        <w:rPr>
          <w:rFonts w:hint="eastAsia" w:ascii="宋体" w:hAnsi="宋体" w:eastAsia="宋体" w:cs="宋体"/>
          <w:b/>
          <w:bCs/>
          <w:color w:val="auto"/>
          <w:sz w:val="21"/>
          <w:szCs w:val="21"/>
          <w:highlight w:val="none"/>
        </w:rPr>
        <w:t>10. 争议解决</w:t>
      </w:r>
      <w:bookmarkEnd w:id="154"/>
    </w:p>
    <w:p w14:paraId="3A8BF090">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10.3 仲裁或诉讼</w:t>
      </w:r>
    </w:p>
    <w:p w14:paraId="701B56A7">
      <w:pPr>
        <w:pageBreakBefore w:val="0"/>
        <w:widowControl w:val="0"/>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481D2087">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lang w:val="en-US" w:eastAsia="zh-CN" w:bidi="ar-SA"/>
        </w:rPr>
        <w:t>（1）</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滁州    </w:t>
      </w:r>
      <w:r>
        <w:rPr>
          <w:rFonts w:hint="eastAsia" w:ascii="宋体" w:hAnsi="宋体" w:eastAsia="宋体" w:cs="宋体"/>
          <w:color w:val="auto"/>
          <w:kern w:val="0"/>
          <w:sz w:val="21"/>
          <w:szCs w:val="21"/>
          <w:highlight w:val="none"/>
        </w:rPr>
        <w:t>仲裁委员会申请仲裁；</w:t>
      </w:r>
    </w:p>
    <w:p w14:paraId="2BA067A7">
      <w:pPr>
        <w:pageBreakBefore w:val="0"/>
        <w:widowControl w:val="0"/>
        <w:numPr>
          <w:ilvl w:val="0"/>
          <w:numId w:val="0"/>
        </w:numPr>
        <w:kinsoku/>
        <w:wordWrap/>
        <w:overflowPunct/>
        <w:topLinePunct w:val="0"/>
        <w:autoSpaceDE/>
        <w:autoSpaceDN/>
        <w:bidi w:val="0"/>
        <w:snapToGrid/>
        <w:spacing w:line="440" w:lineRule="exact"/>
        <w:ind w:left="-199" w:leftChars="-95" w:right="-185" w:rightChars="-88" w:firstLine="0" w:firstLineChars="0"/>
        <w:jc w:val="left"/>
        <w:rPr>
          <w:rFonts w:hint="eastAsia" w:ascii="汉仪大黑简" w:hAnsi="汉仪大黑简" w:eastAsia="汉仪大黑简" w:cs="汉仪大黑简"/>
          <w:b w:val="0"/>
          <w:color w:val="auto"/>
          <w:sz w:val="32"/>
          <w:szCs w:val="32"/>
          <w:highlight w:val="none"/>
          <w:lang w:val="en-US" w:eastAsia="zh-CN"/>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14:paraId="15C4023E">
      <w:pPr>
        <w:rPr>
          <w:color w:val="auto"/>
          <w:highlight w:val="none"/>
        </w:rPr>
      </w:pPr>
      <w:r>
        <w:rPr>
          <w:rFonts w:hint="eastAsia" w:ascii="仿宋_GB2312" w:eastAsia="仿宋_GB2312"/>
          <w:color w:val="auto"/>
          <w:sz w:val="28"/>
          <w:szCs w:val="28"/>
          <w:highlight w:val="none"/>
          <w:u w:val="single"/>
        </w:rPr>
        <w:t xml:space="preserve">       </w:t>
      </w:r>
    </w:p>
    <w:p w14:paraId="32D00076">
      <w:pPr>
        <w:pStyle w:val="6"/>
        <w:spacing w:before="0" w:after="0"/>
        <w:rPr>
          <w:rFonts w:hint="eastAsia" w:ascii="宋体" w:hAnsi="宋体" w:eastAsia="宋体" w:cs="宋体"/>
          <w:color w:val="auto"/>
          <w:kern w:val="2"/>
          <w:sz w:val="28"/>
          <w:szCs w:val="28"/>
          <w:highlight w:val="none"/>
        </w:rPr>
      </w:pPr>
      <w:bookmarkStart w:id="155" w:name="_Toc31238"/>
      <w:bookmarkStart w:id="156" w:name="_Toc20381"/>
    </w:p>
    <w:p w14:paraId="22FFEA7B">
      <w:pP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br w:type="page"/>
      </w:r>
    </w:p>
    <w:p w14:paraId="4564B1AF">
      <w:pPr>
        <w:pStyle w:val="6"/>
        <w:spacing w:before="0" w:after="0"/>
        <w:rPr>
          <w:rFonts w:ascii="宋体" w:hAnsi="宋体" w:eastAsia="宋体" w:cs="宋体"/>
          <w:color w:val="auto"/>
          <w:kern w:val="2"/>
          <w:sz w:val="28"/>
          <w:szCs w:val="28"/>
          <w:highlight w:val="none"/>
        </w:rPr>
      </w:pPr>
      <w:bookmarkStart w:id="157" w:name="_Toc20559"/>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六</w:t>
      </w:r>
      <w:r>
        <w:rPr>
          <w:rFonts w:hint="eastAsia" w:ascii="宋体" w:hAnsi="宋体" w:eastAsia="宋体" w:cs="宋体"/>
          <w:color w:val="auto"/>
          <w:kern w:val="2"/>
          <w:sz w:val="28"/>
          <w:szCs w:val="28"/>
          <w:highlight w:val="none"/>
        </w:rPr>
        <w:t>章投标文件格式</w:t>
      </w:r>
      <w:bookmarkEnd w:id="155"/>
      <w:bookmarkEnd w:id="156"/>
      <w:bookmarkEnd w:id="157"/>
    </w:p>
    <w:p w14:paraId="6FCA482F">
      <w:pPr>
        <w:jc w:val="center"/>
        <w:rPr>
          <w:rFonts w:ascii="宋体" w:hAnsi="宋体" w:cs="宋体"/>
          <w:color w:val="auto"/>
          <w:sz w:val="28"/>
          <w:szCs w:val="28"/>
          <w:highlight w:val="none"/>
          <w:u w:val="single"/>
        </w:rPr>
      </w:pPr>
    </w:p>
    <w:p w14:paraId="40E322E3">
      <w:pPr>
        <w:pStyle w:val="2"/>
        <w:ind w:firstLine="560"/>
        <w:rPr>
          <w:color w:val="auto"/>
          <w:highlight w:val="none"/>
        </w:rPr>
      </w:pPr>
    </w:p>
    <w:p w14:paraId="16EA2D8D">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009623FF">
      <w:pPr>
        <w:jc w:val="center"/>
        <w:rPr>
          <w:rFonts w:eastAsia="黑体"/>
          <w:color w:val="auto"/>
          <w:sz w:val="20"/>
          <w:szCs w:val="20"/>
          <w:highlight w:val="none"/>
        </w:rPr>
      </w:pPr>
    </w:p>
    <w:p w14:paraId="5137E4A5">
      <w:pPr>
        <w:rPr>
          <w:rFonts w:eastAsia="黑体"/>
          <w:color w:val="auto"/>
          <w:sz w:val="20"/>
          <w:szCs w:val="20"/>
          <w:highlight w:val="none"/>
        </w:rPr>
      </w:pPr>
    </w:p>
    <w:p w14:paraId="3994753D">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一</w:t>
      </w:r>
    </w:p>
    <w:p w14:paraId="1286218D">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资信证明</w:t>
      </w:r>
      <w:r>
        <w:rPr>
          <w:rFonts w:eastAsia="黑体"/>
          <w:color w:val="auto"/>
          <w:sz w:val="44"/>
          <w:szCs w:val="44"/>
          <w:highlight w:val="none"/>
        </w:rPr>
        <w:t>文件）</w:t>
      </w:r>
    </w:p>
    <w:p w14:paraId="31406BEB">
      <w:pPr>
        <w:rPr>
          <w:rFonts w:eastAsia="黑体"/>
          <w:color w:val="auto"/>
          <w:sz w:val="28"/>
          <w:szCs w:val="28"/>
          <w:highlight w:val="none"/>
        </w:rPr>
      </w:pPr>
    </w:p>
    <w:p w14:paraId="383400EF">
      <w:pPr>
        <w:rPr>
          <w:rFonts w:eastAsia="黑体"/>
          <w:color w:val="auto"/>
          <w:sz w:val="28"/>
          <w:szCs w:val="28"/>
          <w:highlight w:val="none"/>
        </w:rPr>
      </w:pPr>
    </w:p>
    <w:p w14:paraId="6B0E5C3E">
      <w:pPr>
        <w:rPr>
          <w:rFonts w:eastAsia="黑体"/>
          <w:color w:val="auto"/>
          <w:sz w:val="28"/>
          <w:szCs w:val="28"/>
          <w:highlight w:val="none"/>
        </w:rPr>
      </w:pPr>
    </w:p>
    <w:p w14:paraId="3F073F1F">
      <w:pPr>
        <w:rPr>
          <w:rFonts w:eastAsia="黑体"/>
          <w:color w:val="auto"/>
          <w:sz w:val="28"/>
          <w:szCs w:val="28"/>
          <w:highlight w:val="none"/>
        </w:rPr>
      </w:pPr>
    </w:p>
    <w:p w14:paraId="51653AE6">
      <w:pPr>
        <w:rPr>
          <w:rFonts w:eastAsia="黑体"/>
          <w:color w:val="auto"/>
          <w:sz w:val="28"/>
          <w:szCs w:val="28"/>
          <w:highlight w:val="none"/>
        </w:rPr>
      </w:pPr>
    </w:p>
    <w:p w14:paraId="33EFCA0F">
      <w:pPr>
        <w:rPr>
          <w:rFonts w:eastAsia="黑体"/>
          <w:color w:val="auto"/>
          <w:sz w:val="28"/>
          <w:szCs w:val="28"/>
          <w:highlight w:val="none"/>
        </w:rPr>
      </w:pPr>
    </w:p>
    <w:p w14:paraId="461FBEC6">
      <w:pPr>
        <w:rPr>
          <w:rFonts w:eastAsia="黑体"/>
          <w:color w:val="auto"/>
          <w:sz w:val="28"/>
          <w:szCs w:val="28"/>
          <w:highlight w:val="none"/>
        </w:rPr>
      </w:pPr>
    </w:p>
    <w:p w14:paraId="66F5FC8D">
      <w:pPr>
        <w:rPr>
          <w:rFonts w:eastAsia="黑体"/>
          <w:color w:val="auto"/>
          <w:sz w:val="28"/>
          <w:szCs w:val="28"/>
          <w:highlight w:val="none"/>
        </w:rPr>
      </w:pPr>
    </w:p>
    <w:p w14:paraId="54EB6060">
      <w:pPr>
        <w:rPr>
          <w:rFonts w:eastAsia="黑体"/>
          <w:color w:val="auto"/>
          <w:sz w:val="28"/>
          <w:szCs w:val="28"/>
          <w:highlight w:val="none"/>
        </w:rPr>
      </w:pPr>
    </w:p>
    <w:p w14:paraId="21127EC7">
      <w:pPr>
        <w:rPr>
          <w:rFonts w:eastAsia="黑体"/>
          <w:color w:val="auto"/>
          <w:sz w:val="28"/>
          <w:szCs w:val="28"/>
          <w:highlight w:val="none"/>
        </w:rPr>
      </w:pPr>
    </w:p>
    <w:p w14:paraId="765A59A2">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09E30AF2">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17621395">
      <w:pPr>
        <w:jc w:val="center"/>
        <w:rPr>
          <w:b/>
          <w:color w:val="auto"/>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38380908">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6212888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14:paraId="2E1744D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（2）诚信投标承诺书（格式见附件）；</w:t>
      </w:r>
    </w:p>
    <w:p w14:paraId="159DFD6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企业营业执照（或三证合一的有效证件）</w:t>
      </w:r>
      <w:r>
        <w:rPr>
          <w:rFonts w:hint="eastAsia" w:ascii="宋体" w:hAnsi="宋体" w:cs="宋体"/>
          <w:color w:val="auto"/>
          <w:szCs w:val="21"/>
          <w:highlight w:val="none"/>
        </w:rPr>
        <w:t>；</w:t>
      </w:r>
    </w:p>
    <w:p w14:paraId="0DB9203A">
      <w:pPr>
        <w:spacing w:line="440" w:lineRule="exact"/>
        <w:ind w:firstLine="420" w:firstLineChars="200"/>
        <w:jc w:val="left"/>
        <w:rPr>
          <w:rFonts w:hint="eastAsia" w:ascii="宋体" w:hAnsi="宋体" w:cs="宋体"/>
          <w:color w:val="auto"/>
          <w:spacing w:val="-1"/>
          <w:szCs w:val="21"/>
          <w:highlight w:val="none"/>
        </w:rPr>
      </w:pPr>
      <w:r>
        <w:rPr>
          <w:rFonts w:hint="eastAsia" w:ascii="宋体" w:hAnsi="宋体" w:cs="宋体"/>
          <w:color w:val="auto"/>
          <w:szCs w:val="21"/>
          <w:highlight w:val="none"/>
        </w:rPr>
        <w:t>（5）拟派项目负责人有效身份证及资质要求的相关证书</w:t>
      </w:r>
      <w:r>
        <w:rPr>
          <w:rFonts w:hint="eastAsia" w:ascii="宋体" w:hAnsi="宋体" w:cs="宋体"/>
          <w:color w:val="auto"/>
          <w:spacing w:val="-1"/>
          <w:szCs w:val="21"/>
          <w:highlight w:val="none"/>
        </w:rPr>
        <w:t>；</w:t>
      </w:r>
    </w:p>
    <w:p w14:paraId="45C41A8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）投标人的法定代表人(或委托代理人)和拟任项目负责人须持有社保部门出具的本单位为其缴纳的投标前近</w:t>
      </w:r>
      <w:r>
        <w:rPr>
          <w:rFonts w:hint="eastAsia" w:ascii="宋体" w:hAnsi="宋体" w:cs="宋体"/>
          <w:color w:val="auto"/>
          <w:szCs w:val="21"/>
          <w:highlight w:val="none"/>
          <w:lang w:eastAsia="zh-CN"/>
        </w:rPr>
        <w:t>六个月连续的养老保险证明</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w:t>
      </w:r>
    </w:p>
    <w:p w14:paraId="5A98784E">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项目组成员注册证书和证明专业的证明材料；</w:t>
      </w:r>
    </w:p>
    <w:p w14:paraId="6FF0FEC9">
      <w:pPr>
        <w:spacing w:line="440" w:lineRule="exact"/>
        <w:ind w:firstLine="420" w:firstLineChars="200"/>
        <w:jc w:val="left"/>
        <w:rPr>
          <w:rFonts w:hint="default"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8）资信评分证明材料；</w:t>
      </w:r>
    </w:p>
    <w:p w14:paraId="1875BFAA">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投标人认为需要提供的其它证明材料。</w:t>
      </w:r>
    </w:p>
    <w:p w14:paraId="621A6743">
      <w:pPr>
        <w:spacing w:line="500" w:lineRule="exact"/>
        <w:jc w:val="left"/>
        <w:rPr>
          <w:rFonts w:ascii="仿宋" w:hAnsi="仿宋" w:eastAsia="仿宋" w:cs="仿宋"/>
          <w:b/>
          <w:color w:val="auto"/>
          <w:sz w:val="28"/>
          <w:szCs w:val="28"/>
          <w:highlight w:val="none"/>
        </w:rPr>
      </w:pPr>
      <w:r>
        <w:rPr>
          <w:rFonts w:hint="eastAsia" w:ascii="宋体" w:hAnsi="宋体" w:eastAsia="仿宋" w:cs="宋体"/>
          <w:b/>
          <w:color w:val="auto"/>
          <w:sz w:val="24"/>
          <w:szCs w:val="24"/>
          <w:highlight w:val="none"/>
          <w:lang w:val="en-US" w:eastAsia="zh-CN"/>
        </w:rPr>
        <w:t xml:space="preserve"> </w:t>
      </w:r>
      <w:r>
        <w:rPr>
          <w:rFonts w:ascii="仿宋" w:hAnsi="仿宋" w:eastAsia="仿宋" w:cs="仿宋"/>
          <w:b/>
          <w:color w:val="auto"/>
          <w:sz w:val="28"/>
          <w:szCs w:val="28"/>
          <w:highlight w:val="none"/>
        </w:rPr>
        <w:br w:type="page"/>
      </w:r>
    </w:p>
    <w:p w14:paraId="179B0EEE">
      <w:pPr>
        <w:jc w:val="center"/>
        <w:rPr>
          <w:rFonts w:ascii="仿宋" w:hAnsi="仿宋" w:eastAsia="仿宋" w:cs="仿宋"/>
          <w:color w:val="auto"/>
          <w:sz w:val="32"/>
          <w:szCs w:val="32"/>
          <w:highlight w:val="none"/>
        </w:rPr>
      </w:pPr>
      <w:r>
        <w:rPr>
          <w:rFonts w:hint="eastAsia" w:ascii="仿宋" w:hAnsi="仿宋" w:eastAsia="仿宋" w:cs="仿宋"/>
          <w:b/>
          <w:color w:val="auto"/>
          <w:sz w:val="28"/>
          <w:szCs w:val="28"/>
          <w:highlight w:val="none"/>
        </w:rPr>
        <w:t>法定代表人身份证明或授权委托书</w:t>
      </w:r>
    </w:p>
    <w:p w14:paraId="3F490EC7">
      <w:pPr>
        <w:pStyle w:val="145"/>
        <w:spacing w:before="318" w:beforeLines="100" w:after="318" w:afterLines="100" w:line="480" w:lineRule="exact"/>
        <w:ind w:firstLine="180" w:firstLineChars="75"/>
        <w:rPr>
          <w:rFonts w:ascii="宋体" w:hAnsi="宋体" w:cs="宋体"/>
          <w:b/>
          <w:color w:val="auto"/>
          <w:sz w:val="24"/>
          <w:szCs w:val="24"/>
          <w:highlight w:val="none"/>
        </w:rPr>
      </w:pPr>
      <w:bookmarkStart w:id="158" w:name="OLE_LINK13"/>
      <w:r>
        <w:rPr>
          <w:rFonts w:hint="eastAsia" w:ascii="宋体" w:hAnsi="宋体" w:cs="宋体"/>
          <w:color w:val="auto"/>
          <w:sz w:val="24"/>
          <w:szCs w:val="24"/>
          <w:highlight w:val="none"/>
        </w:rPr>
        <w:t>1、法定代表人身份证明</w:t>
      </w:r>
    </w:p>
    <w:p w14:paraId="55110C75">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DAE62C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D5BEF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45882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9A496F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CA518F5">
      <w:pPr>
        <w:spacing w:line="480" w:lineRule="exact"/>
        <w:ind w:firstLine="1440" w:firstLineChars="200"/>
        <w:rPr>
          <w:rFonts w:ascii="宋体" w:hAnsi="宋体" w:cs="宋体"/>
          <w:color w:val="auto"/>
          <w:sz w:val="24"/>
          <w:highlight w:val="non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_职务：</w:t>
      </w:r>
      <w:r>
        <w:rPr>
          <w:rFonts w:hint="eastAsia" w:ascii="宋体" w:hAnsi="宋体" w:cs="宋体"/>
          <w:color w:val="auto"/>
          <w:sz w:val="24"/>
          <w:highlight w:val="none"/>
          <w:u w:val="single"/>
        </w:rPr>
        <w:t xml:space="preserve">       </w:t>
      </w:r>
    </w:p>
    <w:p w14:paraId="5196FAC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0543F2A8">
      <w:pPr>
        <w:spacing w:line="48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特此证明。</w:t>
      </w:r>
    </w:p>
    <w:p w14:paraId="6EB91C7F">
      <w:pPr>
        <w:spacing w:line="360" w:lineRule="auto"/>
        <w:ind w:firstLine="3480" w:firstLineChars="1450"/>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6A6BF91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bookmarkEnd w:id="158"/>
    </w:p>
    <w:p w14:paraId="716D8250">
      <w:pPr>
        <w:pStyle w:val="2"/>
        <w:ind w:firstLine="560"/>
        <w:rPr>
          <w:color w:val="auto"/>
          <w:highlight w:val="none"/>
        </w:rPr>
      </w:pPr>
    </w:p>
    <w:p w14:paraId="3A3981B6">
      <w:pPr>
        <w:spacing w:line="48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2、授权委托书</w:t>
      </w:r>
    </w:p>
    <w:p w14:paraId="77F54B1A">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工程的投标活动。代理人在投标、开标、评标、合同谈判过程中所签署的一切文件和处理与之有关的一切事务，我均予以承认。</w:t>
      </w:r>
    </w:p>
    <w:p w14:paraId="4779FA0A">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代理人无转委托权，特此委托。</w:t>
      </w:r>
    </w:p>
    <w:p w14:paraId="18410803">
      <w:pPr>
        <w:spacing w:line="48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附：法定代表人及授权委托人有效身份证</w:t>
      </w:r>
    </w:p>
    <w:p w14:paraId="6964B387">
      <w:pPr>
        <w:spacing w:line="480" w:lineRule="auto"/>
        <w:ind w:right="2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授权代理人：</w:t>
      </w:r>
      <w:r>
        <w:rPr>
          <w:rFonts w:hint="eastAsia" w:ascii="宋体" w:hAnsi="宋体" w:cs="宋体"/>
          <w:color w:val="auto"/>
          <w:sz w:val="24"/>
          <w:szCs w:val="24"/>
          <w:highlight w:val="none"/>
          <w:u w:val="single"/>
        </w:rPr>
        <w:t xml:space="preserve">   （签字或盖章）</w:t>
      </w:r>
    </w:p>
    <w:p w14:paraId="0E68686F">
      <w:pPr>
        <w:spacing w:line="480" w:lineRule="auto"/>
        <w:ind w:firstLine="5040" w:firstLineChars="2100"/>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（盖章）</w:t>
      </w:r>
    </w:p>
    <w:p w14:paraId="5ABEBD7D">
      <w:pPr>
        <w:spacing w:line="480" w:lineRule="auto"/>
        <w:ind w:right="204" w:firstLine="4560" w:firstLineChars="19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（签字或盖章）</w:t>
      </w:r>
    </w:p>
    <w:p w14:paraId="22EFD915">
      <w:pPr>
        <w:spacing w:line="480" w:lineRule="auto"/>
        <w:ind w:right="24" w:firstLine="4560" w:firstLineChars="1900"/>
        <w:rPr>
          <w:rFonts w:ascii="宋体" w:hAnsi="宋体" w:cs="宋体"/>
          <w:b/>
          <w:bCs/>
          <w:color w:val="auto"/>
          <w:kern w:val="0"/>
          <w:sz w:val="30"/>
          <w:szCs w:val="30"/>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年     月     日</w:t>
      </w:r>
    </w:p>
    <w:p w14:paraId="749F5031">
      <w:pPr>
        <w:rPr>
          <w:b/>
          <w:color w:val="auto"/>
          <w:sz w:val="28"/>
          <w:szCs w:val="28"/>
          <w:highlight w:val="none"/>
        </w:rPr>
      </w:pPr>
      <w:r>
        <w:rPr>
          <w:rFonts w:ascii="仿宋" w:hAnsi="仿宋" w:eastAsia="仿宋" w:cs="仿宋"/>
          <w:b/>
          <w:bCs/>
          <w:color w:val="auto"/>
          <w:kern w:val="0"/>
          <w:sz w:val="30"/>
          <w:szCs w:val="30"/>
          <w:highlight w:val="none"/>
        </w:rPr>
        <w:br w:type="page"/>
      </w:r>
    </w:p>
    <w:p w14:paraId="3333072B">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4704AAC8">
      <w:pPr>
        <w:spacing w:line="360" w:lineRule="auto"/>
        <w:jc w:val="center"/>
        <w:rPr>
          <w:rFonts w:hint="eastAsia"/>
          <w:b/>
          <w:color w:val="auto"/>
          <w:sz w:val="28"/>
          <w:szCs w:val="28"/>
          <w:highlight w:val="none"/>
        </w:rPr>
      </w:pPr>
      <w:r>
        <w:rPr>
          <w:rFonts w:hint="eastAsia"/>
          <w:b/>
          <w:color w:val="auto"/>
          <w:sz w:val="28"/>
          <w:szCs w:val="28"/>
          <w:highlight w:val="none"/>
        </w:rPr>
        <w:t>诚信投标承诺书 </w:t>
      </w:r>
    </w:p>
    <w:p w14:paraId="29CDF635">
      <w:pPr>
        <w:spacing w:line="500" w:lineRule="exact"/>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E48264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1D5DD031">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BA0781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2AFFC7B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322A941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、招标代理机构或其他投标人串通投标，损害国家利益、社会公共利益或者他人的合法权益；</w:t>
      </w:r>
    </w:p>
    <w:p w14:paraId="644F8FD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2B16F9A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604AA77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八、保证中标后不转包，若有分包征得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461CEF9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520FF09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022E8F7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272679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72B705AC">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26E1001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70A5E3C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投标单位（盖单位章）：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p>
    <w:p w14:paraId="18937B09">
      <w:pPr>
        <w:spacing w:line="500" w:lineRule="exact"/>
        <w:ind w:firstLine="420" w:firstLineChars="200"/>
        <w:rPr>
          <w:rFonts w:hint="eastAsia" w:ascii="宋体" w:hAnsi="宋体"/>
          <w:color w:val="auto"/>
          <w:szCs w:val="21"/>
          <w:highlight w:val="none"/>
        </w:rPr>
      </w:pPr>
    </w:p>
    <w:p w14:paraId="79F06DB7">
      <w:pPr>
        <w:spacing w:line="560" w:lineRule="exact"/>
        <w:jc w:val="right"/>
        <w:rPr>
          <w:rFonts w:hint="eastAsia" w:ascii="宋体" w:hAnsi="宋体"/>
          <w:color w:val="auto"/>
          <w:szCs w:val="21"/>
          <w:highlight w:val="none"/>
        </w:rPr>
      </w:pPr>
    </w:p>
    <w:p w14:paraId="25F2F3D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637026C9">
      <w:pPr>
        <w:jc w:val="center"/>
        <w:rPr>
          <w:rFonts w:eastAsia="黑体"/>
          <w:color w:val="auto"/>
          <w:sz w:val="28"/>
          <w:szCs w:val="28"/>
          <w:highlight w:val="none"/>
          <w:u w:val="single"/>
        </w:rPr>
      </w:pPr>
    </w:p>
    <w:p w14:paraId="3A3AD2FF">
      <w:pPr>
        <w:pStyle w:val="2"/>
        <w:rPr>
          <w:rFonts w:eastAsia="黑体"/>
          <w:color w:val="auto"/>
          <w:sz w:val="28"/>
          <w:szCs w:val="28"/>
          <w:highlight w:val="none"/>
          <w:u w:val="single"/>
        </w:rPr>
      </w:pPr>
    </w:p>
    <w:p w14:paraId="2E9A02C8">
      <w:pPr>
        <w:rPr>
          <w:rFonts w:eastAsia="黑体"/>
          <w:color w:val="auto"/>
          <w:sz w:val="28"/>
          <w:szCs w:val="28"/>
          <w:highlight w:val="none"/>
          <w:u w:val="single"/>
        </w:rPr>
      </w:pPr>
    </w:p>
    <w:p w14:paraId="6408C5C0">
      <w:pPr>
        <w:pStyle w:val="2"/>
        <w:rPr>
          <w:rFonts w:eastAsia="黑体"/>
          <w:color w:val="auto"/>
          <w:sz w:val="28"/>
          <w:szCs w:val="28"/>
          <w:highlight w:val="none"/>
          <w:u w:val="single"/>
        </w:rPr>
      </w:pPr>
    </w:p>
    <w:p w14:paraId="1897E058">
      <w:pPr>
        <w:rPr>
          <w:rFonts w:eastAsia="黑体"/>
          <w:color w:val="auto"/>
          <w:sz w:val="28"/>
          <w:szCs w:val="28"/>
          <w:highlight w:val="none"/>
          <w:u w:val="single"/>
        </w:rPr>
      </w:pPr>
    </w:p>
    <w:p w14:paraId="20226126">
      <w:pPr>
        <w:pStyle w:val="2"/>
        <w:rPr>
          <w:rFonts w:eastAsia="黑体"/>
          <w:color w:val="auto"/>
          <w:sz w:val="28"/>
          <w:szCs w:val="28"/>
          <w:highlight w:val="none"/>
          <w:u w:val="single"/>
        </w:rPr>
      </w:pPr>
    </w:p>
    <w:p w14:paraId="1CDA1077">
      <w:pPr>
        <w:rPr>
          <w:rFonts w:eastAsia="黑体"/>
          <w:color w:val="auto"/>
          <w:sz w:val="28"/>
          <w:szCs w:val="28"/>
          <w:highlight w:val="none"/>
          <w:u w:val="single"/>
        </w:rPr>
      </w:pPr>
    </w:p>
    <w:p w14:paraId="24C63A28">
      <w:pPr>
        <w:rPr>
          <w:rFonts w:eastAsia="黑体"/>
          <w:color w:val="auto"/>
          <w:sz w:val="28"/>
          <w:szCs w:val="28"/>
          <w:highlight w:val="none"/>
          <w:u w:val="single"/>
        </w:rPr>
      </w:pPr>
      <w:r>
        <w:rPr>
          <w:rFonts w:eastAsia="黑体"/>
          <w:color w:val="auto"/>
          <w:sz w:val="28"/>
          <w:szCs w:val="28"/>
          <w:highlight w:val="none"/>
          <w:u w:val="single"/>
        </w:rPr>
        <w:br w:type="page"/>
      </w:r>
    </w:p>
    <w:p w14:paraId="08540DB4">
      <w:pPr>
        <w:rPr>
          <w:color w:val="auto"/>
          <w:highlight w:val="none"/>
        </w:rPr>
      </w:pPr>
    </w:p>
    <w:p w14:paraId="0A7B0232">
      <w:pPr>
        <w:rPr>
          <w:color w:val="auto"/>
          <w:highlight w:val="none"/>
        </w:rPr>
      </w:pPr>
    </w:p>
    <w:p w14:paraId="561FA47A">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4ABE19A3">
      <w:pPr>
        <w:jc w:val="center"/>
        <w:rPr>
          <w:rFonts w:eastAsia="黑体"/>
          <w:color w:val="auto"/>
          <w:sz w:val="20"/>
          <w:szCs w:val="20"/>
          <w:highlight w:val="none"/>
        </w:rPr>
      </w:pPr>
    </w:p>
    <w:p w14:paraId="541B0B22">
      <w:pPr>
        <w:rPr>
          <w:rFonts w:eastAsia="黑体"/>
          <w:color w:val="auto"/>
          <w:sz w:val="20"/>
          <w:szCs w:val="20"/>
          <w:highlight w:val="none"/>
        </w:rPr>
      </w:pPr>
    </w:p>
    <w:p w14:paraId="37AF7DF1">
      <w:pPr>
        <w:jc w:val="center"/>
        <w:rPr>
          <w:rFonts w:hint="eastAsia" w:eastAsia="黑体"/>
          <w:color w:val="auto"/>
          <w:sz w:val="44"/>
          <w:szCs w:val="44"/>
          <w:highlight w:val="none"/>
        </w:rPr>
      </w:pPr>
      <w:r>
        <w:rPr>
          <w:rFonts w:eastAsia="黑体"/>
          <w:color w:val="auto"/>
          <w:sz w:val="44"/>
          <w:szCs w:val="44"/>
          <w:highlight w:val="none"/>
        </w:rPr>
        <w:t xml:space="preserve">投  标  文  件  </w:t>
      </w:r>
      <w:r>
        <w:rPr>
          <w:rFonts w:hint="eastAsia" w:eastAsia="黑体"/>
          <w:color w:val="auto"/>
          <w:sz w:val="44"/>
          <w:szCs w:val="44"/>
          <w:highlight w:val="none"/>
        </w:rPr>
        <w:t>二</w:t>
      </w:r>
    </w:p>
    <w:p w14:paraId="5A1F86F6">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技术</w:t>
      </w:r>
      <w:r>
        <w:rPr>
          <w:rFonts w:eastAsia="黑体"/>
          <w:color w:val="auto"/>
          <w:sz w:val="44"/>
          <w:szCs w:val="44"/>
          <w:highlight w:val="none"/>
        </w:rPr>
        <w:t>标文件）</w:t>
      </w:r>
    </w:p>
    <w:p w14:paraId="67C3987D">
      <w:pPr>
        <w:rPr>
          <w:rFonts w:eastAsia="黑体"/>
          <w:color w:val="auto"/>
          <w:sz w:val="28"/>
          <w:szCs w:val="28"/>
          <w:highlight w:val="none"/>
        </w:rPr>
      </w:pPr>
    </w:p>
    <w:p w14:paraId="637F9620">
      <w:pPr>
        <w:rPr>
          <w:rFonts w:eastAsia="黑体"/>
          <w:color w:val="auto"/>
          <w:sz w:val="28"/>
          <w:szCs w:val="28"/>
          <w:highlight w:val="none"/>
        </w:rPr>
      </w:pPr>
    </w:p>
    <w:p w14:paraId="0AAAA055">
      <w:pPr>
        <w:rPr>
          <w:rFonts w:eastAsia="黑体"/>
          <w:color w:val="auto"/>
          <w:sz w:val="28"/>
          <w:szCs w:val="28"/>
          <w:highlight w:val="none"/>
        </w:rPr>
      </w:pPr>
    </w:p>
    <w:p w14:paraId="40AAB1C5">
      <w:pPr>
        <w:rPr>
          <w:rFonts w:eastAsia="黑体"/>
          <w:color w:val="auto"/>
          <w:sz w:val="28"/>
          <w:szCs w:val="28"/>
          <w:highlight w:val="none"/>
        </w:rPr>
      </w:pPr>
    </w:p>
    <w:p w14:paraId="7C63E8B6">
      <w:pPr>
        <w:rPr>
          <w:rFonts w:eastAsia="黑体"/>
          <w:color w:val="auto"/>
          <w:sz w:val="28"/>
          <w:szCs w:val="28"/>
          <w:highlight w:val="none"/>
        </w:rPr>
      </w:pPr>
    </w:p>
    <w:p w14:paraId="0FBE5145">
      <w:pPr>
        <w:rPr>
          <w:rFonts w:eastAsia="黑体"/>
          <w:color w:val="auto"/>
          <w:sz w:val="28"/>
          <w:szCs w:val="28"/>
          <w:highlight w:val="none"/>
        </w:rPr>
      </w:pPr>
    </w:p>
    <w:p w14:paraId="2769A3FE">
      <w:pPr>
        <w:rPr>
          <w:rFonts w:eastAsia="黑体"/>
          <w:color w:val="auto"/>
          <w:sz w:val="28"/>
          <w:szCs w:val="28"/>
          <w:highlight w:val="none"/>
        </w:rPr>
      </w:pPr>
    </w:p>
    <w:p w14:paraId="36474D01">
      <w:pPr>
        <w:rPr>
          <w:rFonts w:eastAsia="黑体"/>
          <w:color w:val="auto"/>
          <w:sz w:val="28"/>
          <w:szCs w:val="28"/>
          <w:highlight w:val="none"/>
        </w:rPr>
      </w:pPr>
    </w:p>
    <w:p w14:paraId="0A9C8744">
      <w:pPr>
        <w:rPr>
          <w:rFonts w:eastAsia="黑体"/>
          <w:color w:val="auto"/>
          <w:sz w:val="28"/>
          <w:szCs w:val="28"/>
          <w:highlight w:val="none"/>
        </w:rPr>
      </w:pPr>
    </w:p>
    <w:p w14:paraId="4A7BE1FE">
      <w:pPr>
        <w:rPr>
          <w:rFonts w:eastAsia="黑体"/>
          <w:color w:val="auto"/>
          <w:sz w:val="28"/>
          <w:szCs w:val="28"/>
          <w:highlight w:val="none"/>
        </w:rPr>
      </w:pPr>
    </w:p>
    <w:p w14:paraId="270C758C">
      <w:pPr>
        <w:rPr>
          <w:rFonts w:eastAsia="黑体"/>
          <w:color w:val="auto"/>
          <w:sz w:val="28"/>
          <w:szCs w:val="28"/>
          <w:highlight w:val="none"/>
        </w:rPr>
      </w:pPr>
    </w:p>
    <w:p w14:paraId="3669A259">
      <w:pPr>
        <w:rPr>
          <w:rFonts w:eastAsia="黑体"/>
          <w:color w:val="auto"/>
          <w:sz w:val="28"/>
          <w:szCs w:val="28"/>
          <w:highlight w:val="none"/>
        </w:rPr>
      </w:pPr>
    </w:p>
    <w:p w14:paraId="30083F68">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4F9ACB06">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6B103ACB">
      <w:pPr>
        <w:jc w:val="center"/>
        <w:rPr>
          <w:rFonts w:hint="eastAsia" w:eastAsia="黑体"/>
          <w:b/>
          <w:color w:val="auto"/>
          <w:sz w:val="28"/>
          <w:szCs w:val="28"/>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none"/>
          <w:lang w:val="en-US" w:eastAsia="zh-CN"/>
        </w:rPr>
        <w:t>日</w:t>
      </w:r>
    </w:p>
    <w:p w14:paraId="0D0F8C9D">
      <w:pPr>
        <w:pStyle w:val="34"/>
        <w:ind w:left="420" w:hanging="420"/>
        <w:rPr>
          <w:rFonts w:hint="eastAsia"/>
          <w:color w:val="auto"/>
          <w:szCs w:val="21"/>
          <w:highlight w:val="none"/>
        </w:rPr>
      </w:pPr>
    </w:p>
    <w:p w14:paraId="240AE732">
      <w:pPr>
        <w:spacing w:line="480" w:lineRule="auto"/>
        <w:ind w:right="980" w:firstLine="602" w:firstLineChars="200"/>
        <w:jc w:val="center"/>
        <w:rPr>
          <w:rFonts w:hint="eastAsia"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目  录</w:t>
      </w:r>
    </w:p>
    <w:p w14:paraId="7BB93A5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造价工作质量及进度的保证措施方案</w:t>
      </w:r>
      <w:r>
        <w:rPr>
          <w:rFonts w:hint="eastAsia" w:ascii="宋体" w:hAnsi="宋体" w:cs="宋体"/>
          <w:color w:val="auto"/>
          <w:szCs w:val="21"/>
          <w:highlight w:val="none"/>
          <w:lang w:eastAsia="zh-CN"/>
        </w:rPr>
        <w:t>；</w:t>
      </w:r>
    </w:p>
    <w:p w14:paraId="035298B9">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造价工作组织管理方案</w:t>
      </w:r>
      <w:r>
        <w:rPr>
          <w:rFonts w:hint="eastAsia" w:ascii="宋体" w:hAnsi="宋体" w:cs="宋体"/>
          <w:color w:val="auto"/>
          <w:szCs w:val="21"/>
          <w:highlight w:val="none"/>
          <w:lang w:eastAsia="zh-CN"/>
        </w:rPr>
        <w:t>；</w:t>
      </w:r>
    </w:p>
    <w:p w14:paraId="2869552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造价工作档案管理方案</w:t>
      </w:r>
      <w:r>
        <w:rPr>
          <w:rFonts w:hint="eastAsia" w:ascii="宋体" w:hAnsi="宋体" w:cs="宋体"/>
          <w:color w:val="auto"/>
          <w:szCs w:val="21"/>
          <w:highlight w:val="none"/>
          <w:lang w:eastAsia="zh-CN"/>
        </w:rPr>
        <w:t>；</w:t>
      </w:r>
    </w:p>
    <w:p w14:paraId="24CCB191">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针对本项目提出合理化建议</w:t>
      </w:r>
      <w:r>
        <w:rPr>
          <w:rFonts w:hint="eastAsia" w:ascii="宋体" w:hAnsi="宋体" w:cs="宋体"/>
          <w:color w:val="auto"/>
          <w:szCs w:val="21"/>
          <w:highlight w:val="none"/>
          <w:lang w:eastAsia="zh-CN"/>
        </w:rPr>
        <w:t>。</w:t>
      </w:r>
    </w:p>
    <w:p w14:paraId="48D63EED">
      <w:pPr>
        <w:jc w:val="center"/>
        <w:rPr>
          <w:rFonts w:eastAsia="黑体"/>
          <w:color w:val="auto"/>
          <w:sz w:val="28"/>
          <w:szCs w:val="28"/>
          <w:highlight w:val="none"/>
          <w:u w:val="single"/>
        </w:rPr>
      </w:pPr>
    </w:p>
    <w:p w14:paraId="1F928FE9">
      <w:pPr>
        <w:pStyle w:val="2"/>
        <w:rPr>
          <w:rFonts w:eastAsia="黑体"/>
          <w:color w:val="auto"/>
          <w:sz w:val="28"/>
          <w:szCs w:val="28"/>
          <w:highlight w:val="none"/>
          <w:u w:val="single"/>
        </w:rPr>
      </w:pPr>
    </w:p>
    <w:p w14:paraId="5FCAD24E">
      <w:pPr>
        <w:rPr>
          <w:rFonts w:eastAsia="黑体"/>
          <w:color w:val="auto"/>
          <w:sz w:val="28"/>
          <w:szCs w:val="28"/>
          <w:highlight w:val="none"/>
          <w:u w:val="single"/>
        </w:rPr>
      </w:pPr>
    </w:p>
    <w:p w14:paraId="62379037">
      <w:pPr>
        <w:pStyle w:val="2"/>
        <w:rPr>
          <w:rFonts w:eastAsia="黑体"/>
          <w:color w:val="auto"/>
          <w:sz w:val="28"/>
          <w:szCs w:val="28"/>
          <w:highlight w:val="none"/>
          <w:u w:val="single"/>
        </w:rPr>
      </w:pPr>
    </w:p>
    <w:p w14:paraId="31ED5B9F">
      <w:pPr>
        <w:rPr>
          <w:rFonts w:eastAsia="黑体"/>
          <w:color w:val="auto"/>
          <w:sz w:val="28"/>
          <w:szCs w:val="28"/>
          <w:highlight w:val="none"/>
          <w:u w:val="single"/>
        </w:rPr>
      </w:pPr>
    </w:p>
    <w:p w14:paraId="76CCE01C">
      <w:pPr>
        <w:pStyle w:val="2"/>
        <w:rPr>
          <w:rFonts w:eastAsia="黑体"/>
          <w:color w:val="auto"/>
          <w:sz w:val="28"/>
          <w:szCs w:val="28"/>
          <w:highlight w:val="none"/>
          <w:u w:val="single"/>
        </w:rPr>
      </w:pPr>
    </w:p>
    <w:p w14:paraId="677FC5EC">
      <w:pPr>
        <w:rPr>
          <w:rFonts w:eastAsia="黑体"/>
          <w:color w:val="auto"/>
          <w:sz w:val="28"/>
          <w:szCs w:val="28"/>
          <w:highlight w:val="none"/>
          <w:u w:val="single"/>
        </w:rPr>
      </w:pPr>
    </w:p>
    <w:p w14:paraId="1177B9D6">
      <w:pPr>
        <w:pStyle w:val="2"/>
        <w:rPr>
          <w:rFonts w:eastAsia="黑体"/>
          <w:color w:val="auto"/>
          <w:sz w:val="28"/>
          <w:szCs w:val="28"/>
          <w:highlight w:val="none"/>
          <w:u w:val="single"/>
        </w:rPr>
      </w:pPr>
    </w:p>
    <w:p w14:paraId="2BDB3ABC">
      <w:pPr>
        <w:rPr>
          <w:rFonts w:eastAsia="黑体"/>
          <w:color w:val="auto"/>
          <w:sz w:val="28"/>
          <w:szCs w:val="28"/>
          <w:highlight w:val="none"/>
          <w:u w:val="single"/>
        </w:rPr>
      </w:pPr>
    </w:p>
    <w:p w14:paraId="27C64313">
      <w:pPr>
        <w:pStyle w:val="2"/>
        <w:rPr>
          <w:rFonts w:eastAsia="黑体"/>
          <w:color w:val="auto"/>
          <w:sz w:val="28"/>
          <w:szCs w:val="28"/>
          <w:highlight w:val="none"/>
          <w:u w:val="single"/>
        </w:rPr>
      </w:pPr>
    </w:p>
    <w:p w14:paraId="5765EB19">
      <w:pPr>
        <w:rPr>
          <w:rFonts w:eastAsia="黑体"/>
          <w:color w:val="auto"/>
          <w:sz w:val="28"/>
          <w:szCs w:val="28"/>
          <w:highlight w:val="none"/>
          <w:u w:val="single"/>
        </w:rPr>
      </w:pPr>
    </w:p>
    <w:p w14:paraId="64808F99">
      <w:pPr>
        <w:pStyle w:val="2"/>
        <w:rPr>
          <w:rFonts w:eastAsia="黑体"/>
          <w:color w:val="auto"/>
          <w:sz w:val="28"/>
          <w:szCs w:val="28"/>
          <w:highlight w:val="none"/>
          <w:u w:val="single"/>
        </w:rPr>
      </w:pPr>
    </w:p>
    <w:p w14:paraId="63EFA289">
      <w:pPr>
        <w:rPr>
          <w:rFonts w:eastAsia="黑体"/>
          <w:color w:val="auto"/>
          <w:sz w:val="28"/>
          <w:szCs w:val="28"/>
          <w:highlight w:val="none"/>
          <w:u w:val="single"/>
        </w:rPr>
      </w:pPr>
    </w:p>
    <w:p w14:paraId="347D229F">
      <w:pPr>
        <w:pStyle w:val="2"/>
        <w:rPr>
          <w:rFonts w:eastAsia="黑体"/>
          <w:color w:val="auto"/>
          <w:sz w:val="28"/>
          <w:szCs w:val="28"/>
          <w:highlight w:val="none"/>
          <w:u w:val="single"/>
        </w:rPr>
      </w:pPr>
    </w:p>
    <w:p w14:paraId="579A98AE">
      <w:pPr>
        <w:rPr>
          <w:rFonts w:eastAsia="黑体"/>
          <w:color w:val="auto"/>
          <w:sz w:val="28"/>
          <w:szCs w:val="28"/>
          <w:highlight w:val="none"/>
          <w:u w:val="single"/>
        </w:rPr>
      </w:pPr>
    </w:p>
    <w:p w14:paraId="0A289F51">
      <w:pPr>
        <w:pStyle w:val="2"/>
        <w:rPr>
          <w:rFonts w:eastAsia="黑体"/>
          <w:color w:val="auto"/>
          <w:sz w:val="28"/>
          <w:szCs w:val="28"/>
          <w:highlight w:val="none"/>
          <w:u w:val="single"/>
        </w:rPr>
      </w:pPr>
    </w:p>
    <w:p w14:paraId="35472B87">
      <w:pPr>
        <w:rPr>
          <w:rFonts w:eastAsia="黑体"/>
          <w:color w:val="auto"/>
          <w:sz w:val="28"/>
          <w:szCs w:val="28"/>
          <w:highlight w:val="none"/>
          <w:u w:val="single"/>
        </w:rPr>
      </w:pPr>
    </w:p>
    <w:p w14:paraId="218D6979">
      <w:pPr>
        <w:pStyle w:val="2"/>
        <w:rPr>
          <w:rFonts w:eastAsia="黑体"/>
          <w:color w:val="auto"/>
          <w:sz w:val="28"/>
          <w:szCs w:val="28"/>
          <w:highlight w:val="none"/>
          <w:u w:val="single"/>
        </w:rPr>
      </w:pPr>
    </w:p>
    <w:p w14:paraId="0F41A035">
      <w:pPr>
        <w:rPr>
          <w:rFonts w:eastAsia="黑体"/>
          <w:color w:val="auto"/>
          <w:sz w:val="28"/>
          <w:szCs w:val="28"/>
          <w:highlight w:val="none"/>
          <w:u w:val="single"/>
        </w:rPr>
      </w:pPr>
    </w:p>
    <w:p w14:paraId="71E6F7C4">
      <w:pPr>
        <w:pStyle w:val="2"/>
        <w:rPr>
          <w:rFonts w:eastAsia="黑体"/>
          <w:color w:val="auto"/>
          <w:sz w:val="28"/>
          <w:szCs w:val="28"/>
          <w:highlight w:val="none"/>
          <w:u w:val="single"/>
        </w:rPr>
      </w:pPr>
    </w:p>
    <w:p w14:paraId="6C080FB2">
      <w:pPr>
        <w:rPr>
          <w:rFonts w:eastAsia="黑体"/>
          <w:color w:val="auto"/>
          <w:sz w:val="28"/>
          <w:szCs w:val="28"/>
          <w:highlight w:val="none"/>
          <w:u w:val="single"/>
        </w:rPr>
      </w:pPr>
    </w:p>
    <w:p w14:paraId="296A67CD">
      <w:pPr>
        <w:pStyle w:val="2"/>
        <w:rPr>
          <w:color w:val="auto"/>
        </w:rPr>
      </w:pPr>
    </w:p>
    <w:p w14:paraId="0D64DEF8">
      <w:pPr>
        <w:jc w:val="center"/>
        <w:rPr>
          <w:rFonts w:eastAsia="黑体"/>
          <w:color w:val="auto"/>
          <w:sz w:val="20"/>
          <w:szCs w:val="20"/>
          <w:highlight w:val="none"/>
        </w:rPr>
      </w:pPr>
      <w:r>
        <w:rPr>
          <w:rFonts w:eastAsia="黑体"/>
          <w:color w:val="auto"/>
          <w:sz w:val="28"/>
          <w:szCs w:val="28"/>
          <w:highlight w:val="none"/>
          <w:u w:val="single"/>
        </w:rPr>
        <w:t xml:space="preserve">                </w:t>
      </w:r>
      <w:r>
        <w:rPr>
          <w:rFonts w:eastAsia="黑体"/>
          <w:color w:val="auto"/>
          <w:sz w:val="28"/>
          <w:szCs w:val="28"/>
          <w:highlight w:val="none"/>
        </w:rPr>
        <w:t>（项目名称）</w:t>
      </w:r>
    </w:p>
    <w:p w14:paraId="2E3C0F91">
      <w:pPr>
        <w:jc w:val="center"/>
        <w:rPr>
          <w:rFonts w:eastAsia="黑体"/>
          <w:color w:val="auto"/>
          <w:sz w:val="20"/>
          <w:szCs w:val="20"/>
          <w:highlight w:val="none"/>
        </w:rPr>
      </w:pPr>
    </w:p>
    <w:p w14:paraId="695A0274">
      <w:pPr>
        <w:rPr>
          <w:rFonts w:eastAsia="黑体"/>
          <w:color w:val="auto"/>
          <w:sz w:val="20"/>
          <w:szCs w:val="20"/>
          <w:highlight w:val="none"/>
        </w:rPr>
      </w:pPr>
    </w:p>
    <w:p w14:paraId="592BD8A5">
      <w:pPr>
        <w:jc w:val="center"/>
        <w:rPr>
          <w:rFonts w:hint="eastAsia" w:eastAsia="黑体"/>
          <w:color w:val="auto"/>
          <w:sz w:val="44"/>
          <w:szCs w:val="44"/>
          <w:highlight w:val="none"/>
          <w:lang w:eastAsia="zh-CN"/>
        </w:rPr>
      </w:pPr>
      <w:r>
        <w:rPr>
          <w:rFonts w:eastAsia="黑体"/>
          <w:color w:val="auto"/>
          <w:sz w:val="44"/>
          <w:szCs w:val="44"/>
          <w:highlight w:val="none"/>
        </w:rPr>
        <w:t xml:space="preserve">投  标  文  件  </w:t>
      </w:r>
      <w:r>
        <w:rPr>
          <w:rFonts w:hint="eastAsia" w:eastAsia="黑体"/>
          <w:color w:val="auto"/>
          <w:sz w:val="44"/>
          <w:szCs w:val="44"/>
          <w:highlight w:val="none"/>
          <w:lang w:val="en-US" w:eastAsia="zh-CN"/>
        </w:rPr>
        <w:t>三</w:t>
      </w:r>
    </w:p>
    <w:p w14:paraId="0B00FAA1">
      <w:pPr>
        <w:jc w:val="center"/>
        <w:rPr>
          <w:rFonts w:eastAsia="黑体"/>
          <w:color w:val="auto"/>
          <w:sz w:val="44"/>
          <w:szCs w:val="44"/>
          <w:highlight w:val="none"/>
        </w:rPr>
      </w:pPr>
      <w:r>
        <w:rPr>
          <w:rFonts w:eastAsia="黑体"/>
          <w:color w:val="auto"/>
          <w:sz w:val="44"/>
          <w:szCs w:val="44"/>
          <w:highlight w:val="none"/>
        </w:rPr>
        <w:t>（</w:t>
      </w:r>
      <w:r>
        <w:rPr>
          <w:rFonts w:hint="eastAsia" w:eastAsia="黑体"/>
          <w:color w:val="auto"/>
          <w:sz w:val="44"/>
          <w:szCs w:val="44"/>
          <w:highlight w:val="none"/>
          <w:lang w:val="en-US" w:eastAsia="zh-CN"/>
        </w:rPr>
        <w:t>商务</w:t>
      </w:r>
      <w:r>
        <w:rPr>
          <w:rFonts w:eastAsia="黑体"/>
          <w:color w:val="auto"/>
          <w:sz w:val="44"/>
          <w:szCs w:val="44"/>
          <w:highlight w:val="none"/>
        </w:rPr>
        <w:t>标文件）</w:t>
      </w:r>
    </w:p>
    <w:p w14:paraId="6F3CF406">
      <w:pPr>
        <w:rPr>
          <w:rFonts w:eastAsia="黑体"/>
          <w:color w:val="auto"/>
          <w:sz w:val="28"/>
          <w:szCs w:val="28"/>
          <w:highlight w:val="none"/>
        </w:rPr>
      </w:pPr>
    </w:p>
    <w:p w14:paraId="7EB6F215">
      <w:pPr>
        <w:rPr>
          <w:rFonts w:eastAsia="黑体"/>
          <w:color w:val="auto"/>
          <w:sz w:val="28"/>
          <w:szCs w:val="28"/>
          <w:highlight w:val="none"/>
        </w:rPr>
      </w:pPr>
    </w:p>
    <w:p w14:paraId="273D635F">
      <w:pPr>
        <w:rPr>
          <w:rFonts w:eastAsia="黑体"/>
          <w:color w:val="auto"/>
          <w:sz w:val="28"/>
          <w:szCs w:val="28"/>
          <w:highlight w:val="none"/>
        </w:rPr>
      </w:pPr>
    </w:p>
    <w:p w14:paraId="0BD1F5BF">
      <w:pPr>
        <w:rPr>
          <w:rFonts w:eastAsia="黑体"/>
          <w:color w:val="auto"/>
          <w:sz w:val="28"/>
          <w:szCs w:val="28"/>
          <w:highlight w:val="none"/>
        </w:rPr>
      </w:pPr>
    </w:p>
    <w:p w14:paraId="2F1F66A2">
      <w:pPr>
        <w:rPr>
          <w:rFonts w:eastAsia="黑体"/>
          <w:color w:val="auto"/>
          <w:sz w:val="28"/>
          <w:szCs w:val="28"/>
          <w:highlight w:val="none"/>
        </w:rPr>
      </w:pPr>
    </w:p>
    <w:p w14:paraId="3541B6C7">
      <w:pPr>
        <w:rPr>
          <w:rFonts w:eastAsia="黑体"/>
          <w:color w:val="auto"/>
          <w:sz w:val="28"/>
          <w:szCs w:val="28"/>
          <w:highlight w:val="none"/>
        </w:rPr>
      </w:pPr>
    </w:p>
    <w:p w14:paraId="6097B52E">
      <w:pPr>
        <w:rPr>
          <w:rFonts w:eastAsia="黑体"/>
          <w:color w:val="auto"/>
          <w:sz w:val="28"/>
          <w:szCs w:val="28"/>
          <w:highlight w:val="none"/>
        </w:rPr>
      </w:pPr>
    </w:p>
    <w:p w14:paraId="628DD406">
      <w:pPr>
        <w:rPr>
          <w:rFonts w:eastAsia="黑体"/>
          <w:color w:val="auto"/>
          <w:sz w:val="28"/>
          <w:szCs w:val="28"/>
          <w:highlight w:val="none"/>
        </w:rPr>
      </w:pPr>
    </w:p>
    <w:p w14:paraId="59BAC856">
      <w:pPr>
        <w:rPr>
          <w:rFonts w:eastAsia="黑体"/>
          <w:color w:val="auto"/>
          <w:sz w:val="28"/>
          <w:szCs w:val="28"/>
          <w:highlight w:val="none"/>
        </w:rPr>
      </w:pPr>
    </w:p>
    <w:p w14:paraId="7346C988">
      <w:pPr>
        <w:rPr>
          <w:rFonts w:eastAsia="黑体"/>
          <w:color w:val="auto"/>
          <w:sz w:val="28"/>
          <w:szCs w:val="28"/>
          <w:highlight w:val="none"/>
        </w:rPr>
      </w:pPr>
    </w:p>
    <w:p w14:paraId="69299F10">
      <w:pPr>
        <w:rPr>
          <w:rFonts w:eastAsia="黑体"/>
          <w:color w:val="auto"/>
          <w:sz w:val="28"/>
          <w:szCs w:val="28"/>
          <w:highlight w:val="none"/>
        </w:rPr>
      </w:pPr>
    </w:p>
    <w:p w14:paraId="3788387C">
      <w:pPr>
        <w:rPr>
          <w:rFonts w:eastAsia="黑体"/>
          <w:color w:val="auto"/>
          <w:sz w:val="28"/>
          <w:szCs w:val="28"/>
          <w:highlight w:val="none"/>
        </w:rPr>
      </w:pPr>
    </w:p>
    <w:p w14:paraId="30662843">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lang w:val="en-US" w:eastAsia="zh-CN"/>
        </w:rPr>
        <w:t>盖章</w:t>
      </w:r>
      <w:r>
        <w:rPr>
          <w:rFonts w:eastAsia="黑体"/>
          <w:color w:val="auto"/>
          <w:sz w:val="28"/>
          <w:szCs w:val="28"/>
          <w:highlight w:val="none"/>
        </w:rPr>
        <w:t>）</w:t>
      </w:r>
    </w:p>
    <w:p w14:paraId="2999323F">
      <w:pPr>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lang w:val="en-US" w:eastAsia="zh-CN"/>
        </w:rPr>
        <w:t>字或盖章</w:t>
      </w:r>
      <w:r>
        <w:rPr>
          <w:rFonts w:eastAsia="黑体"/>
          <w:color w:val="auto"/>
          <w:sz w:val="28"/>
          <w:szCs w:val="28"/>
          <w:highlight w:val="none"/>
        </w:rPr>
        <w:t>）</w:t>
      </w:r>
    </w:p>
    <w:p w14:paraId="4E490FBB">
      <w:pPr>
        <w:jc w:val="center"/>
        <w:rPr>
          <w:rFonts w:hint="eastAsia" w:eastAsia="黑体"/>
          <w:b/>
          <w:color w:val="auto"/>
          <w:sz w:val="28"/>
          <w:szCs w:val="28"/>
          <w:highlight w:val="none"/>
          <w:u w:val="none"/>
          <w:lang w:val="en-US" w:eastAsia="zh-CN"/>
        </w:rPr>
        <w:sectPr>
          <w:pgSz w:w="11906" w:h="16838"/>
          <w:pgMar w:top="1440" w:right="1800" w:bottom="1440" w:left="1800" w:header="851" w:footer="992" w:gutter="0"/>
          <w:pgNumType w:fmt="decimal"/>
          <w:cols w:space="720" w:num="1"/>
          <w:docGrid w:type="lines" w:linePitch="312" w:charSpace="0"/>
        </w:sect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none"/>
          <w:lang w:val="en-US" w:eastAsia="zh-CN"/>
        </w:rPr>
        <w:t>日</w:t>
      </w:r>
    </w:p>
    <w:p w14:paraId="331FD6A8">
      <w:pPr>
        <w:pStyle w:val="34"/>
        <w:ind w:left="420" w:hanging="420"/>
        <w:rPr>
          <w:rFonts w:hint="eastAsia"/>
          <w:color w:val="auto"/>
          <w:szCs w:val="21"/>
          <w:highlight w:val="none"/>
        </w:rPr>
      </w:pPr>
    </w:p>
    <w:p w14:paraId="78BC9B64">
      <w:pPr>
        <w:widowControl/>
        <w:spacing w:line="440" w:lineRule="exact"/>
        <w:ind w:firstLine="420" w:firstLineChars="200"/>
        <w:jc w:val="center"/>
        <w:textAlignment w:val="baseline"/>
        <w:rPr>
          <w:rFonts w:hint="eastAsia" w:ascii="宋体" w:hAnsi="宋体" w:cs="宋体"/>
          <w:color w:val="auto"/>
          <w:kern w:val="0"/>
          <w:szCs w:val="21"/>
          <w:highlight w:val="none"/>
          <w:u w:color="000000"/>
          <w:lang w:val="en-US" w:eastAsia="zh-CN"/>
        </w:rPr>
      </w:pPr>
      <w:r>
        <w:rPr>
          <w:rFonts w:hint="eastAsia" w:ascii="宋体" w:hAnsi="宋体" w:cs="宋体"/>
          <w:color w:val="auto"/>
          <w:kern w:val="0"/>
          <w:szCs w:val="21"/>
          <w:highlight w:val="none"/>
          <w:u w:color="000000"/>
          <w:lang w:val="en-US" w:eastAsia="zh-CN"/>
        </w:rPr>
        <w:t>目  录</w:t>
      </w:r>
    </w:p>
    <w:p w14:paraId="1DE3B882">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1</w:t>
      </w:r>
      <w:r>
        <w:rPr>
          <w:rFonts w:hint="eastAsia" w:ascii="宋体" w:hAnsi="宋体" w:cs="宋体"/>
          <w:color w:val="auto"/>
          <w:kern w:val="0"/>
          <w:szCs w:val="21"/>
          <w:highlight w:val="none"/>
          <w:u w:color="000000"/>
        </w:rPr>
        <w:t>）投标函（格式见附件）；</w:t>
      </w:r>
    </w:p>
    <w:p w14:paraId="1142184D">
      <w:pPr>
        <w:widowControl/>
        <w:spacing w:line="440" w:lineRule="exact"/>
        <w:ind w:firstLine="420" w:firstLineChars="200"/>
        <w:textAlignment w:val="baseline"/>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w:t>
      </w:r>
      <w:r>
        <w:rPr>
          <w:rFonts w:hint="eastAsia" w:ascii="宋体" w:hAnsi="宋体" w:cs="宋体"/>
          <w:color w:val="auto"/>
          <w:kern w:val="0"/>
          <w:szCs w:val="21"/>
          <w:highlight w:val="none"/>
          <w:u w:color="000000"/>
          <w:lang w:val="en-US" w:eastAsia="zh-CN"/>
        </w:rPr>
        <w:t>2</w:t>
      </w:r>
      <w:r>
        <w:rPr>
          <w:rFonts w:hint="eastAsia" w:ascii="宋体" w:hAnsi="宋体" w:cs="宋体"/>
          <w:color w:val="auto"/>
          <w:kern w:val="0"/>
          <w:szCs w:val="21"/>
          <w:highlight w:val="none"/>
          <w:u w:color="000000"/>
        </w:rPr>
        <w:t>）招标文件要求提供的其他证明材料。</w:t>
      </w:r>
    </w:p>
    <w:p w14:paraId="5358FDA8">
      <w:pPr>
        <w:spacing w:line="360" w:lineRule="auto"/>
        <w:jc w:val="center"/>
        <w:rPr>
          <w:rFonts w:hint="eastAsia"/>
          <w:b/>
          <w:color w:val="auto"/>
          <w:sz w:val="28"/>
          <w:szCs w:val="28"/>
          <w:highlight w:val="none"/>
        </w:rPr>
      </w:pPr>
    </w:p>
    <w:p w14:paraId="53104380">
      <w:pPr>
        <w:spacing w:line="360" w:lineRule="auto"/>
        <w:jc w:val="center"/>
        <w:rPr>
          <w:rFonts w:hint="eastAsia"/>
          <w:b/>
          <w:color w:val="auto"/>
          <w:sz w:val="28"/>
          <w:szCs w:val="28"/>
          <w:highlight w:val="none"/>
        </w:rPr>
      </w:pPr>
    </w:p>
    <w:p w14:paraId="6BC17398">
      <w:pPr>
        <w:spacing w:line="360" w:lineRule="auto"/>
        <w:jc w:val="center"/>
        <w:rPr>
          <w:rFonts w:hint="eastAsia"/>
          <w:b/>
          <w:color w:val="auto"/>
          <w:sz w:val="28"/>
          <w:szCs w:val="28"/>
          <w:highlight w:val="none"/>
        </w:rPr>
      </w:pPr>
    </w:p>
    <w:p w14:paraId="1B86D245">
      <w:pPr>
        <w:spacing w:line="360" w:lineRule="auto"/>
        <w:jc w:val="center"/>
        <w:rPr>
          <w:rFonts w:hint="eastAsia"/>
          <w:b/>
          <w:color w:val="auto"/>
          <w:sz w:val="28"/>
          <w:szCs w:val="28"/>
          <w:highlight w:val="none"/>
        </w:rPr>
      </w:pPr>
    </w:p>
    <w:p w14:paraId="3DE52AA7">
      <w:pPr>
        <w:spacing w:line="360" w:lineRule="auto"/>
        <w:jc w:val="center"/>
        <w:rPr>
          <w:rFonts w:hint="eastAsia"/>
          <w:b/>
          <w:color w:val="auto"/>
          <w:sz w:val="28"/>
          <w:szCs w:val="28"/>
          <w:highlight w:val="none"/>
        </w:rPr>
      </w:pPr>
    </w:p>
    <w:p w14:paraId="7A81E66B">
      <w:pPr>
        <w:spacing w:line="360" w:lineRule="auto"/>
        <w:jc w:val="center"/>
        <w:rPr>
          <w:rFonts w:hint="eastAsia"/>
          <w:b/>
          <w:color w:val="auto"/>
          <w:sz w:val="28"/>
          <w:szCs w:val="28"/>
          <w:highlight w:val="none"/>
        </w:rPr>
      </w:pPr>
    </w:p>
    <w:p w14:paraId="4731BFA5">
      <w:pPr>
        <w:spacing w:line="360" w:lineRule="auto"/>
        <w:jc w:val="center"/>
        <w:rPr>
          <w:rFonts w:hint="eastAsia"/>
          <w:b/>
          <w:color w:val="auto"/>
          <w:sz w:val="28"/>
          <w:szCs w:val="28"/>
          <w:highlight w:val="none"/>
        </w:rPr>
      </w:pPr>
    </w:p>
    <w:p w14:paraId="5D68F4F2">
      <w:pPr>
        <w:spacing w:line="360" w:lineRule="auto"/>
        <w:jc w:val="center"/>
        <w:rPr>
          <w:rFonts w:hint="eastAsia"/>
          <w:b/>
          <w:color w:val="auto"/>
          <w:sz w:val="28"/>
          <w:szCs w:val="28"/>
          <w:highlight w:val="none"/>
        </w:rPr>
      </w:pPr>
    </w:p>
    <w:p w14:paraId="726E5878">
      <w:pPr>
        <w:spacing w:line="360" w:lineRule="auto"/>
        <w:jc w:val="center"/>
        <w:rPr>
          <w:rFonts w:hint="eastAsia"/>
          <w:b/>
          <w:color w:val="auto"/>
          <w:sz w:val="28"/>
          <w:szCs w:val="28"/>
          <w:highlight w:val="none"/>
        </w:rPr>
      </w:pPr>
    </w:p>
    <w:p w14:paraId="3F069439">
      <w:pPr>
        <w:spacing w:line="360" w:lineRule="auto"/>
        <w:jc w:val="center"/>
        <w:rPr>
          <w:rFonts w:hint="eastAsia"/>
          <w:b/>
          <w:color w:val="auto"/>
          <w:sz w:val="28"/>
          <w:szCs w:val="28"/>
          <w:highlight w:val="none"/>
        </w:rPr>
      </w:pPr>
    </w:p>
    <w:p w14:paraId="260BBA19">
      <w:pPr>
        <w:spacing w:line="360" w:lineRule="auto"/>
        <w:jc w:val="center"/>
        <w:rPr>
          <w:rFonts w:hint="eastAsia"/>
          <w:b/>
          <w:color w:val="auto"/>
          <w:sz w:val="28"/>
          <w:szCs w:val="28"/>
          <w:highlight w:val="none"/>
        </w:rPr>
      </w:pPr>
    </w:p>
    <w:p w14:paraId="58822226">
      <w:pPr>
        <w:spacing w:line="360" w:lineRule="auto"/>
        <w:jc w:val="center"/>
        <w:rPr>
          <w:rFonts w:hint="eastAsia"/>
          <w:b/>
          <w:color w:val="auto"/>
          <w:sz w:val="28"/>
          <w:szCs w:val="28"/>
          <w:highlight w:val="none"/>
        </w:rPr>
      </w:pPr>
    </w:p>
    <w:p w14:paraId="42B974C3">
      <w:pPr>
        <w:spacing w:line="360" w:lineRule="auto"/>
        <w:jc w:val="center"/>
        <w:rPr>
          <w:rFonts w:hint="eastAsia"/>
          <w:b/>
          <w:color w:val="auto"/>
          <w:sz w:val="28"/>
          <w:szCs w:val="28"/>
          <w:highlight w:val="none"/>
        </w:rPr>
      </w:pPr>
    </w:p>
    <w:p w14:paraId="20213BF7">
      <w:pPr>
        <w:spacing w:line="360" w:lineRule="auto"/>
        <w:jc w:val="center"/>
        <w:rPr>
          <w:rFonts w:hint="eastAsia"/>
          <w:b/>
          <w:color w:val="auto"/>
          <w:sz w:val="28"/>
          <w:szCs w:val="28"/>
          <w:highlight w:val="none"/>
        </w:rPr>
      </w:pPr>
    </w:p>
    <w:p w14:paraId="674F0AED">
      <w:pPr>
        <w:rPr>
          <w:rFonts w:hint="eastAsia"/>
          <w:b/>
          <w:color w:val="auto"/>
          <w:sz w:val="28"/>
          <w:szCs w:val="28"/>
          <w:highlight w:val="none"/>
        </w:rPr>
      </w:pPr>
      <w:r>
        <w:rPr>
          <w:rFonts w:hint="eastAsia"/>
          <w:b/>
          <w:color w:val="auto"/>
          <w:sz w:val="28"/>
          <w:szCs w:val="28"/>
          <w:highlight w:val="none"/>
        </w:rPr>
        <w:br w:type="page"/>
      </w:r>
    </w:p>
    <w:p w14:paraId="748938F3">
      <w:pPr>
        <w:spacing w:line="360" w:lineRule="auto"/>
        <w:jc w:val="center"/>
        <w:rPr>
          <w:b/>
          <w:bCs/>
          <w:color w:val="auto"/>
          <w:sz w:val="36"/>
          <w:highlight w:val="none"/>
        </w:rPr>
      </w:pPr>
      <w:r>
        <w:rPr>
          <w:rFonts w:hint="eastAsia"/>
          <w:b/>
          <w:color w:val="auto"/>
          <w:sz w:val="28"/>
          <w:szCs w:val="28"/>
          <w:highlight w:val="none"/>
        </w:rPr>
        <w:t>投 标 函</w:t>
      </w:r>
    </w:p>
    <w:p w14:paraId="4CDD9283">
      <w:pPr>
        <w:spacing w:line="360" w:lineRule="auto"/>
        <w:ind w:firstLine="480" w:firstLineChars="200"/>
        <w:rPr>
          <w:color w:val="auto"/>
          <w:sz w:val="24"/>
          <w:highlight w:val="none"/>
        </w:rPr>
      </w:pPr>
    </w:p>
    <w:p w14:paraId="7AD49E1C">
      <w:pPr>
        <w:spacing w:line="440" w:lineRule="exac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(招标人)       </w:t>
      </w:r>
      <w:r>
        <w:rPr>
          <w:rFonts w:hint="eastAsia" w:ascii="宋体"/>
          <w:color w:val="auto"/>
          <w:sz w:val="24"/>
          <w:highlight w:val="none"/>
        </w:rPr>
        <w:t xml:space="preserve"> </w:t>
      </w:r>
    </w:p>
    <w:p w14:paraId="70DD56D0">
      <w:pPr>
        <w:spacing w:line="440" w:lineRule="exact"/>
        <w:ind w:firstLine="480" w:firstLineChars="200"/>
        <w:rPr>
          <w:rFonts w:ascii="宋体"/>
          <w:color w:val="auto"/>
          <w:sz w:val="24"/>
          <w:highlight w:val="none"/>
        </w:rPr>
      </w:pPr>
      <w:r>
        <w:rPr>
          <w:rFonts w:hint="eastAsia" w:ascii="宋体"/>
          <w:color w:val="auto"/>
          <w:sz w:val="24"/>
          <w:highlight w:val="none"/>
        </w:rPr>
        <w:t>1.我们决定参加贵单位组织的“</w:t>
      </w:r>
      <w:r>
        <w:rPr>
          <w:rFonts w:hint="eastAsia" w:ascii="宋体"/>
          <w:color w:val="auto"/>
          <w:sz w:val="24"/>
          <w:highlight w:val="none"/>
          <w:u w:val="single"/>
        </w:rPr>
        <w:t xml:space="preserve"> （项目名称）    </w:t>
      </w:r>
      <w:r>
        <w:rPr>
          <w:rFonts w:hint="eastAsia" w:ascii="宋体"/>
          <w:color w:val="auto"/>
          <w:sz w:val="24"/>
          <w:highlight w:val="none"/>
        </w:rPr>
        <w:t xml:space="preserve">”的采购。我方授权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rPr>
        <w:t>（投标人的名称）全权处理本项目投标的有关事宜。</w:t>
      </w:r>
    </w:p>
    <w:p w14:paraId="37EEBD50">
      <w:pPr>
        <w:spacing w:line="440" w:lineRule="exact"/>
        <w:ind w:firstLine="480" w:firstLineChars="200"/>
        <w:rPr>
          <w:rFonts w:ascii="宋体"/>
          <w:color w:val="auto"/>
          <w:sz w:val="24"/>
          <w:szCs w:val="24"/>
          <w:highlight w:val="none"/>
          <w:u w:val="single"/>
        </w:rPr>
      </w:pPr>
      <w:r>
        <w:rPr>
          <w:rFonts w:hint="eastAsia" w:ascii="宋体"/>
          <w:color w:val="auto"/>
          <w:sz w:val="24"/>
          <w:szCs w:val="24"/>
          <w:highlight w:val="none"/>
        </w:rPr>
        <w:t xml:space="preserve">2.我方愿意按照招标文件规定的各项要求，向招标人提供“ </w:t>
      </w:r>
      <w:r>
        <w:rPr>
          <w:rFonts w:hint="eastAsia" w:ascii="宋体"/>
          <w:color w:val="auto"/>
          <w:sz w:val="24"/>
          <w:szCs w:val="24"/>
          <w:highlight w:val="none"/>
          <w:u w:val="single"/>
        </w:rPr>
        <w:t xml:space="preserve">     </w:t>
      </w:r>
      <w:r>
        <w:rPr>
          <w:rFonts w:hint="eastAsia" w:ascii="宋体"/>
          <w:color w:val="auto"/>
          <w:sz w:val="24"/>
          <w:szCs w:val="24"/>
          <w:highlight w:val="none"/>
        </w:rPr>
        <w:t>（项目编号）”项目的货物与服务，我方报价为</w:t>
      </w:r>
      <w:r>
        <w:rPr>
          <w:rFonts w:hint="eastAsia" w:ascii="宋体"/>
          <w:color w:val="auto"/>
          <w:sz w:val="24"/>
          <w:szCs w:val="24"/>
          <w:highlight w:val="none"/>
          <w:lang w:eastAsia="zh-CN"/>
        </w:rPr>
        <w:t>：</w:t>
      </w:r>
      <w:r>
        <w:rPr>
          <w:rFonts w:hint="default" w:ascii="宋体" w:hAnsi="宋体" w:eastAsia="宋体" w:cs="宋体"/>
          <w:color w:val="auto"/>
          <w:sz w:val="24"/>
          <w:szCs w:val="24"/>
          <w:highlight w:val="none"/>
          <w:lang w:val="en-US"/>
        </w:rPr>
        <w:t>按《安徽省建设工程造价咨询服务项目及收费标准》（皖价服〔2007〕86号）计算的费用×</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rPr>
        <w:t>%</w:t>
      </w:r>
      <w:r>
        <w:rPr>
          <w:rFonts w:hint="eastAsia" w:ascii="宋体"/>
          <w:b/>
          <w:bCs/>
          <w:color w:val="auto"/>
          <w:sz w:val="24"/>
          <w:szCs w:val="24"/>
          <w:highlight w:val="none"/>
        </w:rPr>
        <w:t>。</w:t>
      </w:r>
      <w:r>
        <w:rPr>
          <w:rFonts w:hint="eastAsia" w:ascii="宋体"/>
          <w:color w:val="auto"/>
          <w:sz w:val="24"/>
          <w:szCs w:val="24"/>
          <w:highlight w:val="none"/>
        </w:rPr>
        <w:t>项目负责人为</w:t>
      </w:r>
      <w:r>
        <w:rPr>
          <w:rFonts w:hint="eastAsia" w:ascii="宋体"/>
          <w:color w:val="auto"/>
          <w:sz w:val="24"/>
          <w:szCs w:val="24"/>
          <w:highlight w:val="none"/>
          <w:u w:val="single"/>
        </w:rPr>
        <w:t xml:space="preserve">       </w:t>
      </w:r>
      <w:r>
        <w:rPr>
          <w:rFonts w:hint="eastAsia" w:ascii="宋体"/>
          <w:color w:val="auto"/>
          <w:sz w:val="24"/>
          <w:szCs w:val="24"/>
          <w:highlight w:val="none"/>
        </w:rPr>
        <w:t>，服务期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w:t>
      </w:r>
    </w:p>
    <w:p w14:paraId="2003D44F">
      <w:pPr>
        <w:pStyle w:val="2"/>
        <w:spacing w:line="400" w:lineRule="exact"/>
        <w:ind w:firstLine="480"/>
        <w:rPr>
          <w:color w:val="auto"/>
          <w:highlight w:val="none"/>
        </w:rPr>
      </w:pPr>
      <w:r>
        <w:rPr>
          <w:rFonts w:hint="eastAsia" w:ascii="宋体"/>
          <w:color w:val="auto"/>
          <w:sz w:val="24"/>
          <w:szCs w:val="24"/>
          <w:highlight w:val="none"/>
        </w:rPr>
        <w:t>3.</w:t>
      </w:r>
      <w:r>
        <w:rPr>
          <w:rFonts w:hint="eastAsia" w:ascii="宋体" w:hAnsi="宋体" w:cs="宋体"/>
          <w:color w:val="auto"/>
          <w:sz w:val="24"/>
          <w:szCs w:val="24"/>
          <w:highlight w:val="none"/>
        </w:rPr>
        <w:t>本项目投标有效期为</w:t>
      </w:r>
      <w:r>
        <w:rPr>
          <w:rFonts w:hint="eastAsia" w:ascii="宋体" w:hAnsi="宋体" w:cs="宋体"/>
          <w:color w:val="auto"/>
          <w:sz w:val="24"/>
          <w:szCs w:val="24"/>
          <w:highlight w:val="none"/>
          <w:u w:val="single"/>
        </w:rPr>
        <w:t xml:space="preserve">  90  </w:t>
      </w:r>
      <w:r>
        <w:rPr>
          <w:rFonts w:hint="eastAsia" w:ascii="宋体" w:hAnsi="宋体" w:cs="宋体"/>
          <w:color w:val="auto"/>
          <w:sz w:val="24"/>
          <w:szCs w:val="24"/>
          <w:highlight w:val="none"/>
        </w:rPr>
        <w:t>日历天（从投标截止之日算起）。</w:t>
      </w:r>
    </w:p>
    <w:p w14:paraId="6C772800">
      <w:pPr>
        <w:spacing w:line="400" w:lineRule="exact"/>
        <w:ind w:firstLine="480" w:firstLineChars="200"/>
        <w:rPr>
          <w:rFonts w:ascii="宋体"/>
          <w:color w:val="auto"/>
          <w:sz w:val="24"/>
          <w:highlight w:val="none"/>
        </w:rPr>
      </w:pPr>
      <w:r>
        <w:rPr>
          <w:rFonts w:hint="eastAsia" w:ascii="宋体"/>
          <w:color w:val="auto"/>
          <w:sz w:val="24"/>
          <w:highlight w:val="none"/>
        </w:rPr>
        <w:t>4.一旦我方成为合同签字人，我方将严格履行合同规定的责任和义务。</w:t>
      </w:r>
    </w:p>
    <w:p w14:paraId="3DF70C18">
      <w:pPr>
        <w:spacing w:line="400" w:lineRule="exact"/>
        <w:ind w:firstLine="480" w:firstLineChars="200"/>
        <w:rPr>
          <w:rFonts w:ascii="宋体"/>
          <w:color w:val="auto"/>
          <w:sz w:val="24"/>
          <w:highlight w:val="none"/>
        </w:rPr>
      </w:pPr>
      <w:r>
        <w:rPr>
          <w:rFonts w:hint="eastAsia" w:ascii="宋体"/>
          <w:color w:val="auto"/>
          <w:sz w:val="24"/>
          <w:highlight w:val="none"/>
        </w:rPr>
        <w:t>5.我方同意按照招标文件的要求，递交金额为人民币</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w:t>
      </w:r>
      <w:r>
        <w:rPr>
          <w:rFonts w:hint="eastAsia" w:ascii="宋体"/>
          <w:color w:val="auto"/>
          <w:sz w:val="24"/>
          <w:highlight w:val="none"/>
          <w:u w:val="single"/>
        </w:rPr>
        <w:t xml:space="preserve"> </w:t>
      </w:r>
      <w:r>
        <w:rPr>
          <w:rFonts w:hint="eastAsia" w:ascii="宋体"/>
          <w:color w:val="auto"/>
          <w:sz w:val="24"/>
          <w:highlight w:val="none"/>
        </w:rPr>
        <w:t xml:space="preserve">（大写）的投标保证金。并且承诺，在投标有效期内如果我方撤回投标文件或成为合同签字人后拒绝签订合同，我方将放弃要求退还该保证金的权力。 </w:t>
      </w:r>
    </w:p>
    <w:p w14:paraId="66AB4F6F">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6</w:t>
      </w:r>
      <w:r>
        <w:rPr>
          <w:rFonts w:hint="eastAsia" w:ascii="宋体"/>
          <w:color w:val="auto"/>
          <w:sz w:val="24"/>
          <w:highlight w:val="none"/>
        </w:rPr>
        <w:t>.我方愿意提供可能另外要求的、与采购投标有关的文件资料，并保证我方已提供和将要提供的文件是真实的、准确的。</w:t>
      </w:r>
    </w:p>
    <w:p w14:paraId="3DED16CB">
      <w:pPr>
        <w:spacing w:line="440" w:lineRule="exact"/>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191AEF0F">
      <w:pPr>
        <w:ind w:right="-178" w:rightChars="-85" w:firstLine="2520" w:firstLineChars="1050"/>
        <w:rPr>
          <w:rFonts w:ascii="宋体"/>
          <w:color w:val="auto"/>
          <w:sz w:val="24"/>
          <w:highlight w:val="none"/>
          <w:u w:val="single"/>
        </w:rPr>
      </w:pPr>
      <w:r>
        <w:rPr>
          <w:rFonts w:hint="eastAsia" w:ascii="宋体"/>
          <w:color w:val="auto"/>
          <w:sz w:val="24"/>
          <w:highlight w:val="none"/>
        </w:rPr>
        <w:t xml:space="preserve">           </w:t>
      </w:r>
    </w:p>
    <w:p w14:paraId="0C7DED4B">
      <w:pPr>
        <w:spacing w:line="400" w:lineRule="exact"/>
        <w:ind w:firstLine="2520" w:firstLineChars="1200"/>
        <w:rPr>
          <w:rFonts w:ascii="宋体"/>
          <w:color w:val="auto"/>
          <w:highlight w:val="none"/>
        </w:rPr>
      </w:pPr>
    </w:p>
    <w:p w14:paraId="2FE27956">
      <w:pPr>
        <w:pStyle w:val="2"/>
        <w:ind w:firstLine="560"/>
        <w:rPr>
          <w:rFonts w:ascii="宋体"/>
          <w:color w:val="auto"/>
          <w:szCs w:val="21"/>
          <w:highlight w:val="none"/>
        </w:rPr>
      </w:pPr>
      <w:r>
        <w:rPr>
          <w:rFonts w:hint="eastAsia" w:ascii="宋体"/>
          <w:color w:val="auto"/>
          <w:szCs w:val="21"/>
          <w:highlight w:val="none"/>
        </w:rPr>
        <w:t xml:space="preserve">  </w:t>
      </w:r>
    </w:p>
    <w:p w14:paraId="082139EC">
      <w:pPr>
        <w:rPr>
          <w:color w:val="auto"/>
          <w:highlight w:val="none"/>
        </w:rPr>
      </w:pPr>
    </w:p>
    <w:p w14:paraId="7940723D">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投标单位：</w:t>
      </w:r>
      <w:r>
        <w:rPr>
          <w:rFonts w:ascii="宋体" w:hAnsi="宋体"/>
          <w:color w:val="auto"/>
          <w:sz w:val="24"/>
          <w:szCs w:val="24"/>
          <w:highlight w:val="none"/>
          <w:u w:val="single"/>
        </w:rPr>
        <w:t xml:space="preserve">                              </w:t>
      </w:r>
      <w:r>
        <w:rPr>
          <w:rFonts w:hint="eastAsia"/>
          <w:color w:val="auto"/>
          <w:sz w:val="24"/>
          <w:szCs w:val="24"/>
          <w:highlight w:val="none"/>
          <w:u w:val="single"/>
        </w:rPr>
        <w:t>（盖章）</w:t>
      </w:r>
    </w:p>
    <w:p w14:paraId="14162E56">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（签字或盖章）</w:t>
      </w:r>
    </w:p>
    <w:p w14:paraId="0A06581B">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单位地址：</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423FAD04">
      <w:pPr>
        <w:spacing w:line="408" w:lineRule="auto"/>
        <w:ind w:firstLine="3360" w:firstLineChars="1400"/>
        <w:rPr>
          <w:rFonts w:ascii="宋体"/>
          <w:color w:val="auto"/>
          <w:sz w:val="24"/>
          <w:szCs w:val="24"/>
          <w:highlight w:val="none"/>
          <w:u w:val="single"/>
        </w:rPr>
      </w:pPr>
      <w:r>
        <w:rPr>
          <w:rFonts w:hint="eastAsia" w:ascii="宋体" w:hAnsi="宋体"/>
          <w:color w:val="auto"/>
          <w:sz w:val="24"/>
          <w:szCs w:val="24"/>
          <w:highlight w:val="none"/>
        </w:rPr>
        <w:t>邮政编码：</w:t>
      </w:r>
      <w:r>
        <w:rPr>
          <w:rFonts w:ascii="宋体" w:hAnsi="宋体"/>
          <w:color w:val="auto"/>
          <w:sz w:val="24"/>
          <w:szCs w:val="24"/>
          <w:highlight w:val="none"/>
          <w:u w:val="single"/>
        </w:rPr>
        <w:t xml:space="preserve">            </w:t>
      </w:r>
      <w:r>
        <w:rPr>
          <w:rFonts w:hint="eastAsia" w:ascii="宋体" w:hAnsi="宋体"/>
          <w:color w:val="auto"/>
          <w:sz w:val="24"/>
          <w:szCs w:val="24"/>
          <w:highlight w:val="none"/>
        </w:rPr>
        <w:t>电话：</w:t>
      </w:r>
      <w:r>
        <w:rPr>
          <w:rFonts w:ascii="宋体" w:hAnsi="宋体"/>
          <w:color w:val="auto"/>
          <w:sz w:val="24"/>
          <w:szCs w:val="24"/>
          <w:highlight w:val="none"/>
          <w:u w:val="single"/>
        </w:rPr>
        <w:t xml:space="preserve">        </w:t>
      </w:r>
      <w:r>
        <w:rPr>
          <w:rFonts w:hint="eastAsia" w:ascii="宋体" w:hAnsi="宋体"/>
          <w:color w:val="auto"/>
          <w:sz w:val="24"/>
          <w:szCs w:val="24"/>
          <w:highlight w:val="none"/>
        </w:rPr>
        <w:t>传真：</w:t>
      </w:r>
      <w:r>
        <w:rPr>
          <w:rFonts w:ascii="宋体" w:hAnsi="宋体"/>
          <w:color w:val="auto"/>
          <w:sz w:val="24"/>
          <w:szCs w:val="24"/>
          <w:highlight w:val="none"/>
          <w:u w:val="single"/>
        </w:rPr>
        <w:t xml:space="preserve">               </w:t>
      </w:r>
    </w:p>
    <w:p w14:paraId="004EFB51">
      <w:pPr>
        <w:spacing w:line="408" w:lineRule="auto"/>
        <w:ind w:firstLine="3360" w:firstLineChars="1400"/>
        <w:rPr>
          <w:rFonts w:asci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07BC352">
      <w:pPr>
        <w:rPr>
          <w:rFonts w:ascii="仿宋" w:hAnsi="仿宋" w:eastAsia="仿宋" w:cs="仿宋"/>
          <w:b/>
          <w:bCs/>
          <w:color w:val="auto"/>
          <w:kern w:val="0"/>
          <w:sz w:val="30"/>
          <w:szCs w:val="30"/>
          <w:highlight w:val="none"/>
        </w:rPr>
      </w:pPr>
      <w:r>
        <w:rPr>
          <w:rFonts w:ascii="仿宋" w:hAnsi="仿宋" w:eastAsia="仿宋" w:cs="仿宋"/>
          <w:b/>
          <w:bCs/>
          <w:color w:val="auto"/>
          <w:kern w:val="0"/>
          <w:sz w:val="30"/>
          <w:szCs w:val="30"/>
          <w:highlight w:val="none"/>
        </w:rPr>
        <w:br w:type="page"/>
      </w:r>
    </w:p>
    <w:p w14:paraId="2113F080">
      <w:pPr>
        <w:pStyle w:val="6"/>
        <w:spacing w:before="0" w:after="0"/>
        <w:rPr>
          <w:rFonts w:ascii="宋体" w:hAnsi="宋体" w:eastAsia="宋体" w:cs="宋体"/>
          <w:color w:val="auto"/>
          <w:kern w:val="2"/>
          <w:sz w:val="28"/>
          <w:szCs w:val="28"/>
          <w:highlight w:val="none"/>
        </w:rPr>
      </w:pPr>
      <w:bookmarkStart w:id="159" w:name="_Toc25509"/>
      <w:bookmarkStart w:id="160" w:name="_Toc23863"/>
      <w:bookmarkStart w:id="161" w:name="_Toc6092"/>
      <w:r>
        <w:rPr>
          <w:rFonts w:hint="eastAsia" w:ascii="宋体" w:hAnsi="宋体" w:eastAsia="宋体" w:cs="宋体"/>
          <w:color w:val="auto"/>
          <w:kern w:val="2"/>
          <w:sz w:val="28"/>
          <w:szCs w:val="28"/>
          <w:highlight w:val="none"/>
        </w:rPr>
        <w:t>第</w:t>
      </w:r>
      <w:r>
        <w:rPr>
          <w:rFonts w:hint="eastAsia" w:ascii="宋体" w:hAnsi="宋体" w:eastAsia="宋体" w:cs="宋体"/>
          <w:color w:val="auto"/>
          <w:kern w:val="2"/>
          <w:sz w:val="28"/>
          <w:szCs w:val="28"/>
          <w:highlight w:val="none"/>
          <w:lang w:val="en-US" w:eastAsia="zh-CN"/>
        </w:rPr>
        <w:t>七</w:t>
      </w:r>
      <w:r>
        <w:rPr>
          <w:rFonts w:hint="eastAsia" w:ascii="宋体" w:hAnsi="宋体" w:eastAsia="宋体" w:cs="宋体"/>
          <w:color w:val="auto"/>
          <w:kern w:val="2"/>
          <w:sz w:val="28"/>
          <w:szCs w:val="28"/>
          <w:highlight w:val="none"/>
        </w:rPr>
        <w:t>章招标单位、招标代理机构对本招标文件的确认</w:t>
      </w:r>
      <w:bookmarkEnd w:id="159"/>
      <w:bookmarkEnd w:id="160"/>
      <w:bookmarkEnd w:id="161"/>
    </w:p>
    <w:tbl>
      <w:tblPr>
        <w:tblStyle w:val="45"/>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45AD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3B6006AB">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7C4D6D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right="0" w:firstLine="560" w:firstLineChars="200"/>
              <w:jc w:val="left"/>
              <w:textAlignment w:val="auto"/>
              <w:rPr>
                <w:rFonts w:hint="default" w:ascii="宋体" w:hAnsi="宋体" w:cs="宋体"/>
                <w:color w:val="auto"/>
                <w:sz w:val="28"/>
                <w:szCs w:val="28"/>
                <w:highlight w:val="none"/>
              </w:rPr>
            </w:pPr>
            <w:r>
              <w:rPr>
                <w:rFonts w:hint="eastAsia" w:ascii="宋体" w:hAnsi="宋体" w:cs="宋体"/>
                <w:color w:val="auto"/>
                <w:sz w:val="28"/>
                <w:szCs w:val="28"/>
                <w:highlight w:val="none"/>
              </w:rPr>
              <w:t>我单位对</w:t>
            </w:r>
            <w:r>
              <w:rPr>
                <w:rFonts w:hint="eastAsia" w:ascii="宋体" w:hAnsi="宋体" w:cs="宋体"/>
                <w:color w:val="auto"/>
                <w:sz w:val="28"/>
                <w:szCs w:val="28"/>
                <w:highlight w:val="none"/>
                <w:u w:val="single"/>
              </w:rPr>
              <w:t>滁州市建筑垃圾综合处置项目（一期）工程量清单及最高投标限价编制服务项目</w:t>
            </w:r>
            <w:r>
              <w:rPr>
                <w:rFonts w:hint="eastAsia" w:ascii="宋体" w:hAnsi="宋体" w:cs="宋体"/>
                <w:color w:val="auto"/>
                <w:sz w:val="28"/>
                <w:szCs w:val="28"/>
                <w:highlight w:val="none"/>
              </w:rPr>
              <w:t>的招标文件进行确认。</w:t>
            </w:r>
          </w:p>
          <w:p w14:paraId="7B3790E9">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00248313">
            <w:pPr>
              <w:keepNext w:val="0"/>
              <w:keepLines w:val="0"/>
              <w:suppressLineNumbers w:val="0"/>
              <w:spacing w:before="0" w:beforeAutospacing="0" w:after="0" w:afterAutospacing="0" w:line="480" w:lineRule="auto"/>
              <w:ind w:left="0" w:right="0" w:firstLine="280" w:firstLineChars="100"/>
              <w:rPr>
                <w:rFonts w:hint="eastAsia" w:ascii="宋体" w:hAnsi="宋体" w:eastAsia="宋体" w:cs="宋体"/>
                <w:color w:val="auto"/>
                <w:sz w:val="30"/>
                <w:szCs w:val="30"/>
                <w:highlight w:val="none"/>
                <w:lang w:eastAsia="zh-CN"/>
              </w:rPr>
            </w:pPr>
            <w:r>
              <w:rPr>
                <w:rFonts w:hint="eastAsia" w:ascii="宋体" w:hAnsi="宋体" w:cs="宋体"/>
                <w:color w:val="auto"/>
                <w:sz w:val="28"/>
                <w:szCs w:val="28"/>
                <w:highlight w:val="none"/>
              </w:rPr>
              <w:t>招标人：滁州市皖能兴滁环境科技有限公司</w:t>
            </w:r>
          </w:p>
          <w:p w14:paraId="23F4A8E1">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联系人：陈倩倩、江玉龙 </w:t>
            </w:r>
          </w:p>
          <w:p w14:paraId="67903E02">
            <w:pPr>
              <w:keepNext w:val="0"/>
              <w:keepLines w:val="0"/>
              <w:suppressLineNumbers w:val="0"/>
              <w:spacing w:before="0" w:beforeAutospacing="0" w:after="0" w:afterAutospacing="0" w:line="500" w:lineRule="exact"/>
              <w:ind w:left="0" w:right="0" w:firstLine="280" w:firstLineChars="100"/>
              <w:rPr>
                <w:rFonts w:hint="default" w:ascii="宋体" w:hAnsi="宋体" w:cs="宋体"/>
                <w:b/>
                <w:bCs/>
                <w:color w:val="auto"/>
                <w:sz w:val="28"/>
                <w:szCs w:val="28"/>
                <w:highlight w:val="none"/>
              </w:rPr>
            </w:pPr>
            <w:r>
              <w:rPr>
                <w:rFonts w:hint="eastAsia" w:ascii="宋体" w:hAnsi="宋体" w:cs="宋体"/>
                <w:color w:val="auto"/>
                <w:sz w:val="28"/>
                <w:szCs w:val="28"/>
                <w:highlight w:val="none"/>
              </w:rPr>
              <w:t xml:space="preserve">联系电话：18726618862、18130062551 </w:t>
            </w:r>
          </w:p>
          <w:p w14:paraId="1BF69E71">
            <w:pPr>
              <w:keepNext w:val="0"/>
              <w:keepLines w:val="0"/>
              <w:suppressLineNumbers w:val="0"/>
              <w:spacing w:before="0" w:beforeAutospacing="0" w:after="0" w:afterAutospacing="0" w:line="500" w:lineRule="exact"/>
              <w:ind w:left="0" w:right="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7E8D7F45">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14:paraId="3BA79CDC">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03D0FC84">
            <w:pPr>
              <w:keepNext w:val="0"/>
              <w:keepLines w:val="0"/>
              <w:suppressLineNumbers w:val="0"/>
              <w:spacing w:before="0" w:beforeAutospacing="0" w:after="0" w:afterAutospacing="0"/>
              <w:ind w:left="0" w:right="0" w:firstLine="5320" w:firstLineChars="19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 xml:space="preserve">           20</w:t>
            </w:r>
            <w:r>
              <w:rPr>
                <w:rFonts w:hint="eastAsia" w:ascii="宋体" w:hAnsi="宋体" w:cs="宋体"/>
                <w:color w:val="auto"/>
                <w:sz w:val="28"/>
                <w:szCs w:val="28"/>
                <w:highlight w:val="none"/>
                <w:lang w:val="en-US" w:eastAsia="zh-CN"/>
              </w:rPr>
              <w:t>24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27日</w:t>
            </w:r>
          </w:p>
        </w:tc>
      </w:tr>
      <w:tr w14:paraId="116C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77B76203">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p>
          <w:p w14:paraId="211A4EB2">
            <w:pPr>
              <w:keepNext w:val="0"/>
              <w:keepLines w:val="0"/>
              <w:suppressLineNumbers w:val="0"/>
              <w:spacing w:before="0" w:beforeAutospacing="0" w:after="0" w:afterAutospacing="0" w:line="320" w:lineRule="atLeast"/>
              <w:ind w:left="0" w:right="0" w:firstLine="560" w:firstLineChars="200"/>
              <w:rPr>
                <w:rFonts w:hint="default" w:ascii="宋体" w:hAnsi="宋体" w:cs="宋体"/>
                <w:color w:val="auto"/>
                <w:sz w:val="28"/>
                <w:szCs w:val="28"/>
                <w:highlight w:val="none"/>
              </w:rPr>
            </w:pPr>
            <w:r>
              <w:rPr>
                <w:rFonts w:hint="eastAsia" w:ascii="宋体" w:hAnsi="宋体" w:cs="宋体"/>
                <w:color w:val="auto"/>
                <w:sz w:val="28"/>
                <w:szCs w:val="28"/>
                <w:highlight w:val="none"/>
              </w:rPr>
              <w:t>招标代理机构：滁州市城投工程咨询管理有限公司</w:t>
            </w:r>
          </w:p>
          <w:p w14:paraId="314546A4">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田甜</w:t>
            </w:r>
          </w:p>
          <w:p w14:paraId="2D6EA1D0">
            <w:pPr>
              <w:keepNext w:val="0"/>
              <w:keepLines w:val="0"/>
              <w:suppressLineNumbers w:val="0"/>
              <w:spacing w:before="0" w:beforeAutospacing="0" w:after="0" w:afterAutospacing="0" w:line="320" w:lineRule="atLeast"/>
              <w:ind w:left="0" w:right="0"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15955005370</w:t>
            </w:r>
          </w:p>
          <w:p w14:paraId="5D2D63C7">
            <w:pPr>
              <w:keepNext w:val="0"/>
              <w:keepLines w:val="0"/>
              <w:suppressLineNumbers w:val="0"/>
              <w:spacing w:before="0" w:beforeAutospacing="0" w:after="0" w:afterAutospacing="0"/>
              <w:ind w:left="0" w:right="0"/>
              <w:rPr>
                <w:rFonts w:hint="default" w:ascii="宋体" w:hAnsi="宋体" w:cs="宋体"/>
                <w:color w:val="auto"/>
                <w:sz w:val="28"/>
                <w:szCs w:val="28"/>
                <w:highlight w:val="none"/>
              </w:rPr>
            </w:pPr>
          </w:p>
          <w:p w14:paraId="1C0E2F78">
            <w:pPr>
              <w:keepNext w:val="0"/>
              <w:keepLines w:val="0"/>
              <w:suppressLineNumbers w:val="0"/>
              <w:spacing w:before="0" w:beforeAutospacing="0" w:after="0" w:afterAutospacing="0"/>
              <w:ind w:left="0" w:right="0" w:firstLine="5320" w:firstLineChars="19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059FA24D">
            <w:pPr>
              <w:keepNext w:val="0"/>
              <w:keepLines w:val="0"/>
              <w:suppressLineNumbers w:val="0"/>
              <w:spacing w:before="0" w:beforeAutospacing="0" w:after="0" w:afterAutospacing="0"/>
              <w:ind w:left="0" w:right="0" w:firstLine="6720" w:firstLineChars="2400"/>
              <w:rPr>
                <w:rFonts w:hint="eastAsia" w:ascii="宋体" w:hAnsi="宋体" w:cs="宋体"/>
                <w:color w:val="auto"/>
                <w:sz w:val="28"/>
                <w:szCs w:val="28"/>
                <w:highlight w:val="none"/>
              </w:rPr>
            </w:pPr>
          </w:p>
          <w:p w14:paraId="2DB5ACCD">
            <w:pPr>
              <w:keepNext w:val="0"/>
              <w:keepLines w:val="0"/>
              <w:suppressLineNumbers w:val="0"/>
              <w:spacing w:before="0" w:beforeAutospacing="0" w:after="0" w:afterAutospacing="0"/>
              <w:ind w:left="0" w:right="0" w:firstLine="6720" w:firstLineChars="24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383036BC">
            <w:pPr>
              <w:keepNext w:val="0"/>
              <w:keepLines w:val="0"/>
              <w:suppressLineNumbers w:val="0"/>
              <w:spacing w:before="0" w:beforeAutospacing="0" w:after="0" w:afterAutospacing="0"/>
              <w:ind w:left="0" w:right="0" w:firstLine="4900" w:firstLineChars="1750"/>
              <w:rPr>
                <w:rFonts w:hint="default"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 xml:space="preserve"> 202</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27日</w:t>
            </w:r>
          </w:p>
        </w:tc>
      </w:tr>
    </w:tbl>
    <w:p w14:paraId="54330964">
      <w:pPr>
        <w:pStyle w:val="19"/>
        <w:jc w:val="left"/>
        <w:rPr>
          <w:rFonts w:ascii="仿宋" w:hAnsi="仿宋" w:eastAsia="仿宋" w:cs="仿宋"/>
          <w:color w:val="auto"/>
          <w:kern w:val="0"/>
          <w:sz w:val="24"/>
          <w:szCs w:val="24"/>
          <w:highlight w:val="none"/>
        </w:rPr>
      </w:pPr>
    </w:p>
    <w:sectPr>
      <w:footerReference r:id="rId11"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汉仪大黑简">
    <w:altName w:val="黑体"/>
    <w:panose1 w:val="02010600000001010101"/>
    <w:charset w:val="86"/>
    <w:family w:val="auto"/>
    <w:pitch w:val="default"/>
    <w:sig w:usb0="00000000" w:usb1="00000000" w:usb2="00000002"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7A"/>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37ED">
    <w:pPr>
      <w:pStyle w:val="29"/>
      <w:rPr>
        <w:rStyle w:val="49"/>
      </w:rPr>
    </w:pPr>
  </w:p>
  <w:p w14:paraId="3EE38A7B">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0DC7CC6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0DC7CC6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42A3">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1940C">
    <w:pPr>
      <w:pStyle w:val="29"/>
      <w:rPr>
        <w:rStyle w:val="49"/>
      </w:rPr>
    </w:pPr>
  </w:p>
  <w:p w14:paraId="3972F942">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6D46BBAD"/>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6D46BBAD"/>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6CB4">
    <w:pPr>
      <w:pStyle w:val="29"/>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1180A">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3F1180A">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A913">
    <w:pPr>
      <w:pStyle w:val="29"/>
      <w:tabs>
        <w:tab w:val="clear" w:pos="4153"/>
        <w:tab w:val="clear" w:pos="8306"/>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D89DD">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FD89DD">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4C965">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58D0F">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A58D0F">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6BEC">
    <w:pPr>
      <w:pStyle w:val="29"/>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46AB4">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B46AB4">
                    <w:pPr>
                      <w:pStyle w:val="29"/>
                    </w:pPr>
                    <w:r>
                      <w:fldChar w:fldCharType="begin"/>
                    </w:r>
                    <w:r>
                      <w:instrText xml:space="preserve"> PAGE  \* MERGEFORMAT </w:instrText>
                    </w:r>
                    <w:r>
                      <w:fldChar w:fldCharType="separate"/>
                    </w:r>
                    <w:r>
                      <w:t>31</w:t>
                    </w:r>
                    <w:r>
                      <w:fldChar w:fldCharType="end"/>
                    </w:r>
                  </w:p>
                </w:txbxContent>
              </v:textbox>
            </v:shape>
          </w:pict>
        </mc:Fallback>
      </mc:AlternateContent>
    </w:r>
  </w:p>
  <w:p w14:paraId="103B26F7">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338EC403"/>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338EC403"/>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23449">
    <w:pPr>
      <w:pStyle w:val="30"/>
      <w:pBdr>
        <w:bottom w:val="none" w:color="auto" w:sz="0" w:space="0"/>
      </w:pBdr>
    </w:pP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41F4">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99AB"/>
    <w:multiLevelType w:val="singleLevel"/>
    <w:tmpl w:val="CF2F99AB"/>
    <w:lvl w:ilvl="0" w:tentative="0">
      <w:start w:val="2"/>
      <w:numFmt w:val="chineseCounting"/>
      <w:suff w:val="space"/>
      <w:lvlText w:val="第%1部分"/>
      <w:lvlJc w:val="left"/>
      <w:rPr>
        <w:rFonts w:hint="eastAsia"/>
      </w:rPr>
    </w:lvl>
  </w:abstractNum>
  <w:abstractNum w:abstractNumId="1">
    <w:nsid w:val="00000011"/>
    <w:multiLevelType w:val="singleLevel"/>
    <w:tmpl w:val="00000011"/>
    <w:lvl w:ilvl="0" w:tentative="0">
      <w:start w:val="2"/>
      <w:numFmt w:val="decimal"/>
      <w:suff w:val="nothing"/>
      <w:lvlText w:val="（%1）"/>
      <w:lvlJc w:val="left"/>
    </w:lvl>
  </w:abstractNum>
  <w:abstractNum w:abstractNumId="2">
    <w:nsid w:val="63AFFB15"/>
    <w:multiLevelType w:val="singleLevel"/>
    <w:tmpl w:val="63AFFB15"/>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MjA2NzhjYzQ4OWNiZjFiYmM1NmY3MjFhZDQ5M2MifQ=="/>
  </w:docVars>
  <w:rsids>
    <w:rsidRoot w:val="00277DEA"/>
    <w:rsid w:val="000407AC"/>
    <w:rsid w:val="00040A78"/>
    <w:rsid w:val="00057816"/>
    <w:rsid w:val="000B6281"/>
    <w:rsid w:val="000E13AD"/>
    <w:rsid w:val="00131FFF"/>
    <w:rsid w:val="00135312"/>
    <w:rsid w:val="00144E2C"/>
    <w:rsid w:val="001643AB"/>
    <w:rsid w:val="0016450D"/>
    <w:rsid w:val="00182F47"/>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54075"/>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B1E23"/>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C2619"/>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842E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B12E58"/>
    <w:rsid w:val="01CC1A40"/>
    <w:rsid w:val="0200793B"/>
    <w:rsid w:val="02451D44"/>
    <w:rsid w:val="02494B2C"/>
    <w:rsid w:val="02860CE1"/>
    <w:rsid w:val="02966A1D"/>
    <w:rsid w:val="02A06DF6"/>
    <w:rsid w:val="02AB5AF9"/>
    <w:rsid w:val="03311B51"/>
    <w:rsid w:val="034073BB"/>
    <w:rsid w:val="035607B0"/>
    <w:rsid w:val="035A0B08"/>
    <w:rsid w:val="03DD3435"/>
    <w:rsid w:val="042D2167"/>
    <w:rsid w:val="04880F3B"/>
    <w:rsid w:val="04921CCE"/>
    <w:rsid w:val="04BB1052"/>
    <w:rsid w:val="04CF29CE"/>
    <w:rsid w:val="04D53301"/>
    <w:rsid w:val="052F2A11"/>
    <w:rsid w:val="05943D22"/>
    <w:rsid w:val="059F141A"/>
    <w:rsid w:val="05B44CC5"/>
    <w:rsid w:val="06176B26"/>
    <w:rsid w:val="06421DF6"/>
    <w:rsid w:val="065021C6"/>
    <w:rsid w:val="068C79F0"/>
    <w:rsid w:val="07023E8A"/>
    <w:rsid w:val="07041C7C"/>
    <w:rsid w:val="073F34F8"/>
    <w:rsid w:val="07A959F9"/>
    <w:rsid w:val="07B90CB8"/>
    <w:rsid w:val="07CB0304"/>
    <w:rsid w:val="08017F69"/>
    <w:rsid w:val="08091979"/>
    <w:rsid w:val="08D613F6"/>
    <w:rsid w:val="08EE1782"/>
    <w:rsid w:val="094625ED"/>
    <w:rsid w:val="098C0FAE"/>
    <w:rsid w:val="09A34B6E"/>
    <w:rsid w:val="09AF2373"/>
    <w:rsid w:val="09DE0E66"/>
    <w:rsid w:val="0A1370D9"/>
    <w:rsid w:val="0A426E3F"/>
    <w:rsid w:val="0A783487"/>
    <w:rsid w:val="0A7A70EE"/>
    <w:rsid w:val="0A821835"/>
    <w:rsid w:val="0A8A693C"/>
    <w:rsid w:val="0A920A74"/>
    <w:rsid w:val="0B3B4932"/>
    <w:rsid w:val="0B594C9F"/>
    <w:rsid w:val="0B5C7C37"/>
    <w:rsid w:val="0B8A5AE2"/>
    <w:rsid w:val="0BD70F17"/>
    <w:rsid w:val="0C0134F9"/>
    <w:rsid w:val="0C0D4C1D"/>
    <w:rsid w:val="0C4D19CF"/>
    <w:rsid w:val="0C5E2909"/>
    <w:rsid w:val="0C632FA1"/>
    <w:rsid w:val="0C99751F"/>
    <w:rsid w:val="0CDE4AF1"/>
    <w:rsid w:val="0D2F7233"/>
    <w:rsid w:val="0D31264B"/>
    <w:rsid w:val="0D503DE8"/>
    <w:rsid w:val="0D5E4FBA"/>
    <w:rsid w:val="0DB0649C"/>
    <w:rsid w:val="0E6D2AA6"/>
    <w:rsid w:val="0E832759"/>
    <w:rsid w:val="0F094152"/>
    <w:rsid w:val="0F260D83"/>
    <w:rsid w:val="0F3872E6"/>
    <w:rsid w:val="0F74337A"/>
    <w:rsid w:val="0F784FB5"/>
    <w:rsid w:val="101C1DE4"/>
    <w:rsid w:val="106F1985"/>
    <w:rsid w:val="111C1443"/>
    <w:rsid w:val="11F272A1"/>
    <w:rsid w:val="11FC0C31"/>
    <w:rsid w:val="12021072"/>
    <w:rsid w:val="12543983"/>
    <w:rsid w:val="126006AE"/>
    <w:rsid w:val="12A948F2"/>
    <w:rsid w:val="12B665CC"/>
    <w:rsid w:val="137A735A"/>
    <w:rsid w:val="13B24508"/>
    <w:rsid w:val="13B53817"/>
    <w:rsid w:val="13B862C8"/>
    <w:rsid w:val="13BD1EF1"/>
    <w:rsid w:val="13D65BBB"/>
    <w:rsid w:val="140A3F0D"/>
    <w:rsid w:val="143A5F3C"/>
    <w:rsid w:val="14620C2E"/>
    <w:rsid w:val="14922675"/>
    <w:rsid w:val="14A64A45"/>
    <w:rsid w:val="14CB202B"/>
    <w:rsid w:val="151E0989"/>
    <w:rsid w:val="15280D0B"/>
    <w:rsid w:val="154E7339"/>
    <w:rsid w:val="15862C54"/>
    <w:rsid w:val="15B871E8"/>
    <w:rsid w:val="15D60886"/>
    <w:rsid w:val="15EF66EB"/>
    <w:rsid w:val="16495EC0"/>
    <w:rsid w:val="165752E8"/>
    <w:rsid w:val="16592CBA"/>
    <w:rsid w:val="16795E94"/>
    <w:rsid w:val="16A220B2"/>
    <w:rsid w:val="16AB249D"/>
    <w:rsid w:val="16B85EAA"/>
    <w:rsid w:val="16F07B27"/>
    <w:rsid w:val="179761F4"/>
    <w:rsid w:val="182226C4"/>
    <w:rsid w:val="1830556D"/>
    <w:rsid w:val="18791F1E"/>
    <w:rsid w:val="18A84692"/>
    <w:rsid w:val="18D82529"/>
    <w:rsid w:val="19D85993"/>
    <w:rsid w:val="1A7408B4"/>
    <w:rsid w:val="1A7A2554"/>
    <w:rsid w:val="1A7F4297"/>
    <w:rsid w:val="1AB5410B"/>
    <w:rsid w:val="1B0F337F"/>
    <w:rsid w:val="1B334333"/>
    <w:rsid w:val="1B5C44DC"/>
    <w:rsid w:val="1B5E2E01"/>
    <w:rsid w:val="1B6338B0"/>
    <w:rsid w:val="1B8B1170"/>
    <w:rsid w:val="1BA355D9"/>
    <w:rsid w:val="1BEC5215"/>
    <w:rsid w:val="1C136BB6"/>
    <w:rsid w:val="1C4B5EA8"/>
    <w:rsid w:val="1CA4388D"/>
    <w:rsid w:val="1CC23B65"/>
    <w:rsid w:val="1CD5344A"/>
    <w:rsid w:val="1D157916"/>
    <w:rsid w:val="1D4E7880"/>
    <w:rsid w:val="1DD14CA1"/>
    <w:rsid w:val="1DEB0A3D"/>
    <w:rsid w:val="1E1554ED"/>
    <w:rsid w:val="1E2D3E8E"/>
    <w:rsid w:val="1EA062D6"/>
    <w:rsid w:val="1EA50719"/>
    <w:rsid w:val="1F1D7927"/>
    <w:rsid w:val="1F4343CD"/>
    <w:rsid w:val="1FC72549"/>
    <w:rsid w:val="206778EF"/>
    <w:rsid w:val="20775E12"/>
    <w:rsid w:val="207B6E01"/>
    <w:rsid w:val="20A803FD"/>
    <w:rsid w:val="20C152CD"/>
    <w:rsid w:val="20F63F8C"/>
    <w:rsid w:val="21721D27"/>
    <w:rsid w:val="219D0B32"/>
    <w:rsid w:val="21CD1190"/>
    <w:rsid w:val="21D56910"/>
    <w:rsid w:val="221255C2"/>
    <w:rsid w:val="224D0523"/>
    <w:rsid w:val="229654D3"/>
    <w:rsid w:val="232A43C0"/>
    <w:rsid w:val="233E1D76"/>
    <w:rsid w:val="237B0CC8"/>
    <w:rsid w:val="239006C7"/>
    <w:rsid w:val="23957430"/>
    <w:rsid w:val="23B333EF"/>
    <w:rsid w:val="23B802A0"/>
    <w:rsid w:val="23F15F55"/>
    <w:rsid w:val="240759C8"/>
    <w:rsid w:val="24305A06"/>
    <w:rsid w:val="243D2848"/>
    <w:rsid w:val="2443398C"/>
    <w:rsid w:val="248851A7"/>
    <w:rsid w:val="249E5066"/>
    <w:rsid w:val="24CE2D2C"/>
    <w:rsid w:val="24D66607"/>
    <w:rsid w:val="25236015"/>
    <w:rsid w:val="257B7155"/>
    <w:rsid w:val="25AD7A6E"/>
    <w:rsid w:val="25D05377"/>
    <w:rsid w:val="261D1282"/>
    <w:rsid w:val="26252182"/>
    <w:rsid w:val="265E174C"/>
    <w:rsid w:val="265F1BC5"/>
    <w:rsid w:val="2686038F"/>
    <w:rsid w:val="268F110A"/>
    <w:rsid w:val="26B66697"/>
    <w:rsid w:val="26CF7E49"/>
    <w:rsid w:val="26D6442E"/>
    <w:rsid w:val="27270303"/>
    <w:rsid w:val="27545EB0"/>
    <w:rsid w:val="279A1B15"/>
    <w:rsid w:val="27E86D24"/>
    <w:rsid w:val="28164313"/>
    <w:rsid w:val="285C6DCA"/>
    <w:rsid w:val="286B525F"/>
    <w:rsid w:val="28C72B2B"/>
    <w:rsid w:val="28D9041B"/>
    <w:rsid w:val="28E444C1"/>
    <w:rsid w:val="293B07C3"/>
    <w:rsid w:val="294F123E"/>
    <w:rsid w:val="296F5223"/>
    <w:rsid w:val="29A053DC"/>
    <w:rsid w:val="29BA649E"/>
    <w:rsid w:val="2A081AFD"/>
    <w:rsid w:val="2A241E9E"/>
    <w:rsid w:val="2AB033FD"/>
    <w:rsid w:val="2B0B00AD"/>
    <w:rsid w:val="2B163BA8"/>
    <w:rsid w:val="2B420197"/>
    <w:rsid w:val="2C2C11A9"/>
    <w:rsid w:val="2C567CF3"/>
    <w:rsid w:val="2C874AAF"/>
    <w:rsid w:val="2C8E66A6"/>
    <w:rsid w:val="2CAF5168"/>
    <w:rsid w:val="2CBB47F9"/>
    <w:rsid w:val="2CD755B9"/>
    <w:rsid w:val="2D111FD8"/>
    <w:rsid w:val="2D275EB3"/>
    <w:rsid w:val="2D4A1910"/>
    <w:rsid w:val="2E6B0765"/>
    <w:rsid w:val="2E9077CD"/>
    <w:rsid w:val="2E976DAE"/>
    <w:rsid w:val="2EFD1D1D"/>
    <w:rsid w:val="2F067A90"/>
    <w:rsid w:val="2F3A186E"/>
    <w:rsid w:val="2F5702EB"/>
    <w:rsid w:val="2FA662DF"/>
    <w:rsid w:val="2FD92302"/>
    <w:rsid w:val="30847806"/>
    <w:rsid w:val="31413001"/>
    <w:rsid w:val="326A2A2B"/>
    <w:rsid w:val="32774590"/>
    <w:rsid w:val="32852601"/>
    <w:rsid w:val="329F4483"/>
    <w:rsid w:val="332433C5"/>
    <w:rsid w:val="3376156C"/>
    <w:rsid w:val="339C188C"/>
    <w:rsid w:val="33BD26F8"/>
    <w:rsid w:val="340E5D78"/>
    <w:rsid w:val="3411315F"/>
    <w:rsid w:val="348E387D"/>
    <w:rsid w:val="34AC10D9"/>
    <w:rsid w:val="34C870C7"/>
    <w:rsid w:val="34FD7B87"/>
    <w:rsid w:val="35624F4C"/>
    <w:rsid w:val="359B0230"/>
    <w:rsid w:val="35A46FAE"/>
    <w:rsid w:val="3628257B"/>
    <w:rsid w:val="371F6D9C"/>
    <w:rsid w:val="3750497A"/>
    <w:rsid w:val="37E1553E"/>
    <w:rsid w:val="380A4A95"/>
    <w:rsid w:val="38221F30"/>
    <w:rsid w:val="38483D6F"/>
    <w:rsid w:val="38666BBA"/>
    <w:rsid w:val="3923202B"/>
    <w:rsid w:val="39445D84"/>
    <w:rsid w:val="397A0421"/>
    <w:rsid w:val="398960D8"/>
    <w:rsid w:val="39BC6D10"/>
    <w:rsid w:val="39F2247F"/>
    <w:rsid w:val="3A03179B"/>
    <w:rsid w:val="3A066436"/>
    <w:rsid w:val="3A2516BB"/>
    <w:rsid w:val="3A267238"/>
    <w:rsid w:val="3A374A52"/>
    <w:rsid w:val="3A824DB6"/>
    <w:rsid w:val="3AC151B3"/>
    <w:rsid w:val="3B086187"/>
    <w:rsid w:val="3B3C635C"/>
    <w:rsid w:val="3B4A51A8"/>
    <w:rsid w:val="3B9308FD"/>
    <w:rsid w:val="3B993AF3"/>
    <w:rsid w:val="3BAE1BDB"/>
    <w:rsid w:val="3BB16FD5"/>
    <w:rsid w:val="3BCD1B9B"/>
    <w:rsid w:val="3BCE402B"/>
    <w:rsid w:val="3C1C481B"/>
    <w:rsid w:val="3CCB04A6"/>
    <w:rsid w:val="3CD37326"/>
    <w:rsid w:val="3D4F308A"/>
    <w:rsid w:val="3D675F7C"/>
    <w:rsid w:val="3DB84470"/>
    <w:rsid w:val="3DBA4867"/>
    <w:rsid w:val="3DCB19FA"/>
    <w:rsid w:val="3DD408C3"/>
    <w:rsid w:val="3DD53C41"/>
    <w:rsid w:val="3E3B0878"/>
    <w:rsid w:val="3EB968CD"/>
    <w:rsid w:val="3EED354E"/>
    <w:rsid w:val="3F173AB4"/>
    <w:rsid w:val="3F1B1C27"/>
    <w:rsid w:val="3F4E74DA"/>
    <w:rsid w:val="3F7A539C"/>
    <w:rsid w:val="3FA30AEA"/>
    <w:rsid w:val="3FB5783A"/>
    <w:rsid w:val="3FBD7842"/>
    <w:rsid w:val="4060397D"/>
    <w:rsid w:val="408338D7"/>
    <w:rsid w:val="40842F0A"/>
    <w:rsid w:val="40D11000"/>
    <w:rsid w:val="41510996"/>
    <w:rsid w:val="41CC6917"/>
    <w:rsid w:val="41DA7286"/>
    <w:rsid w:val="41E96622"/>
    <w:rsid w:val="42147451"/>
    <w:rsid w:val="42D367F7"/>
    <w:rsid w:val="42EA174A"/>
    <w:rsid w:val="43544E16"/>
    <w:rsid w:val="43881670"/>
    <w:rsid w:val="438A6CA4"/>
    <w:rsid w:val="43A22025"/>
    <w:rsid w:val="43AB65DF"/>
    <w:rsid w:val="43E82525"/>
    <w:rsid w:val="4431123E"/>
    <w:rsid w:val="44580936"/>
    <w:rsid w:val="446023D9"/>
    <w:rsid w:val="44646797"/>
    <w:rsid w:val="447D039C"/>
    <w:rsid w:val="44894F93"/>
    <w:rsid w:val="44A8055A"/>
    <w:rsid w:val="4530540F"/>
    <w:rsid w:val="45465E6E"/>
    <w:rsid w:val="455C4456"/>
    <w:rsid w:val="456218C2"/>
    <w:rsid w:val="45AF30FD"/>
    <w:rsid w:val="45B46563"/>
    <w:rsid w:val="45C73FC5"/>
    <w:rsid w:val="46482AF5"/>
    <w:rsid w:val="465B3014"/>
    <w:rsid w:val="466F2DE7"/>
    <w:rsid w:val="46916DC7"/>
    <w:rsid w:val="46D84867"/>
    <w:rsid w:val="471E7C15"/>
    <w:rsid w:val="472F5293"/>
    <w:rsid w:val="479A0405"/>
    <w:rsid w:val="47C102C8"/>
    <w:rsid w:val="47DB0FE0"/>
    <w:rsid w:val="48594C7C"/>
    <w:rsid w:val="485A4022"/>
    <w:rsid w:val="48965ED0"/>
    <w:rsid w:val="48986B3F"/>
    <w:rsid w:val="48B819A3"/>
    <w:rsid w:val="49B66251"/>
    <w:rsid w:val="4A0D21C2"/>
    <w:rsid w:val="4A104F60"/>
    <w:rsid w:val="4A2C2648"/>
    <w:rsid w:val="4A3729E1"/>
    <w:rsid w:val="4AB22C06"/>
    <w:rsid w:val="4AC22FAD"/>
    <w:rsid w:val="4AC7233B"/>
    <w:rsid w:val="4B1E5923"/>
    <w:rsid w:val="4B490FD8"/>
    <w:rsid w:val="4B9F76BF"/>
    <w:rsid w:val="4BAA4F08"/>
    <w:rsid w:val="4BB93099"/>
    <w:rsid w:val="4C147838"/>
    <w:rsid w:val="4C312198"/>
    <w:rsid w:val="4C7B3413"/>
    <w:rsid w:val="4C9E15DF"/>
    <w:rsid w:val="4CBD494A"/>
    <w:rsid w:val="4CD40000"/>
    <w:rsid w:val="4CD65604"/>
    <w:rsid w:val="4CD87112"/>
    <w:rsid w:val="4D151ABA"/>
    <w:rsid w:val="4D4203D5"/>
    <w:rsid w:val="4D785BA5"/>
    <w:rsid w:val="4D9B2BA2"/>
    <w:rsid w:val="4DDC7792"/>
    <w:rsid w:val="4E532013"/>
    <w:rsid w:val="4E5C029C"/>
    <w:rsid w:val="4F0A0A7E"/>
    <w:rsid w:val="4F2C4E99"/>
    <w:rsid w:val="4F8A1859"/>
    <w:rsid w:val="4FD23591"/>
    <w:rsid w:val="4FF65457"/>
    <w:rsid w:val="502D24E4"/>
    <w:rsid w:val="50615016"/>
    <w:rsid w:val="50681F00"/>
    <w:rsid w:val="5087096D"/>
    <w:rsid w:val="50CC1AE3"/>
    <w:rsid w:val="50D75B93"/>
    <w:rsid w:val="50F876EA"/>
    <w:rsid w:val="51393D98"/>
    <w:rsid w:val="51510BE7"/>
    <w:rsid w:val="516B4DC3"/>
    <w:rsid w:val="522B7EBA"/>
    <w:rsid w:val="52524C16"/>
    <w:rsid w:val="52A2363E"/>
    <w:rsid w:val="52C13A04"/>
    <w:rsid w:val="52CE5689"/>
    <w:rsid w:val="530D6D8F"/>
    <w:rsid w:val="53122999"/>
    <w:rsid w:val="531F6F64"/>
    <w:rsid w:val="53294814"/>
    <w:rsid w:val="53545FFA"/>
    <w:rsid w:val="539128D9"/>
    <w:rsid w:val="544929FF"/>
    <w:rsid w:val="54727BA5"/>
    <w:rsid w:val="54DE09E3"/>
    <w:rsid w:val="55144405"/>
    <w:rsid w:val="553E76D4"/>
    <w:rsid w:val="558A3D0F"/>
    <w:rsid w:val="55A16B67"/>
    <w:rsid w:val="55AD03B6"/>
    <w:rsid w:val="56327239"/>
    <w:rsid w:val="56395B87"/>
    <w:rsid w:val="569E5C28"/>
    <w:rsid w:val="56F5327C"/>
    <w:rsid w:val="56FB2B1E"/>
    <w:rsid w:val="571C5F2B"/>
    <w:rsid w:val="57313D11"/>
    <w:rsid w:val="578D049F"/>
    <w:rsid w:val="578D69F6"/>
    <w:rsid w:val="57BE6431"/>
    <w:rsid w:val="57F416AF"/>
    <w:rsid w:val="59103D2C"/>
    <w:rsid w:val="593C03CE"/>
    <w:rsid w:val="599A4762"/>
    <w:rsid w:val="599A64DF"/>
    <w:rsid w:val="5AA13F8B"/>
    <w:rsid w:val="5AE12FDB"/>
    <w:rsid w:val="5AFB6FFA"/>
    <w:rsid w:val="5B361E7C"/>
    <w:rsid w:val="5B554B3E"/>
    <w:rsid w:val="5B5877E2"/>
    <w:rsid w:val="5B5E287E"/>
    <w:rsid w:val="5BC85F49"/>
    <w:rsid w:val="5BE3458F"/>
    <w:rsid w:val="5BE73983"/>
    <w:rsid w:val="5CC32F12"/>
    <w:rsid w:val="5D0D455B"/>
    <w:rsid w:val="5D186A5C"/>
    <w:rsid w:val="5D2C42B6"/>
    <w:rsid w:val="5DB744C7"/>
    <w:rsid w:val="5DC40368"/>
    <w:rsid w:val="5DCB3ACF"/>
    <w:rsid w:val="5DD0286D"/>
    <w:rsid w:val="5DF40F6B"/>
    <w:rsid w:val="5E660B09"/>
    <w:rsid w:val="5E954808"/>
    <w:rsid w:val="5EC84FF2"/>
    <w:rsid w:val="5ED961F2"/>
    <w:rsid w:val="5EEA0F2A"/>
    <w:rsid w:val="5F0E45BB"/>
    <w:rsid w:val="5F5168CF"/>
    <w:rsid w:val="5F9D1CA2"/>
    <w:rsid w:val="5FC81CAB"/>
    <w:rsid w:val="5FD300DB"/>
    <w:rsid w:val="60284D4C"/>
    <w:rsid w:val="602A1431"/>
    <w:rsid w:val="602F06F9"/>
    <w:rsid w:val="60350EDC"/>
    <w:rsid w:val="608C59E7"/>
    <w:rsid w:val="60C44DAC"/>
    <w:rsid w:val="60CA10D1"/>
    <w:rsid w:val="61095D5D"/>
    <w:rsid w:val="61284751"/>
    <w:rsid w:val="612956DC"/>
    <w:rsid w:val="615B6854"/>
    <w:rsid w:val="617E77D6"/>
    <w:rsid w:val="61BC12B7"/>
    <w:rsid w:val="61CD250B"/>
    <w:rsid w:val="61F73A6C"/>
    <w:rsid w:val="61F950AE"/>
    <w:rsid w:val="62202B07"/>
    <w:rsid w:val="62286805"/>
    <w:rsid w:val="628506F0"/>
    <w:rsid w:val="6294738C"/>
    <w:rsid w:val="62F006F1"/>
    <w:rsid w:val="62F814B0"/>
    <w:rsid w:val="632C6D8E"/>
    <w:rsid w:val="634549CF"/>
    <w:rsid w:val="63BC4518"/>
    <w:rsid w:val="63FA3522"/>
    <w:rsid w:val="64274D62"/>
    <w:rsid w:val="6451149D"/>
    <w:rsid w:val="646761C8"/>
    <w:rsid w:val="646F3406"/>
    <w:rsid w:val="64C4269D"/>
    <w:rsid w:val="65027B05"/>
    <w:rsid w:val="65493C57"/>
    <w:rsid w:val="6554585D"/>
    <w:rsid w:val="655541D3"/>
    <w:rsid w:val="65594766"/>
    <w:rsid w:val="657C753B"/>
    <w:rsid w:val="659550EE"/>
    <w:rsid w:val="65AE22F3"/>
    <w:rsid w:val="65EB0365"/>
    <w:rsid w:val="66465782"/>
    <w:rsid w:val="664802EF"/>
    <w:rsid w:val="667747F4"/>
    <w:rsid w:val="66AD359D"/>
    <w:rsid w:val="66B94E0C"/>
    <w:rsid w:val="66BB0B84"/>
    <w:rsid w:val="66F35AF0"/>
    <w:rsid w:val="670A4733"/>
    <w:rsid w:val="67DE5EA5"/>
    <w:rsid w:val="683325DF"/>
    <w:rsid w:val="688D02FE"/>
    <w:rsid w:val="68E24E4E"/>
    <w:rsid w:val="69642093"/>
    <w:rsid w:val="699B02E9"/>
    <w:rsid w:val="69A518F6"/>
    <w:rsid w:val="69C81CE8"/>
    <w:rsid w:val="69F26A0E"/>
    <w:rsid w:val="6A16299D"/>
    <w:rsid w:val="6A2829D5"/>
    <w:rsid w:val="6A42615D"/>
    <w:rsid w:val="6A546685"/>
    <w:rsid w:val="6A6D7173"/>
    <w:rsid w:val="6AC6490F"/>
    <w:rsid w:val="6ACE1747"/>
    <w:rsid w:val="6AEB0E9F"/>
    <w:rsid w:val="6B1C6C77"/>
    <w:rsid w:val="6B2F50CF"/>
    <w:rsid w:val="6B6D78FB"/>
    <w:rsid w:val="6BB4626C"/>
    <w:rsid w:val="6BDE45F3"/>
    <w:rsid w:val="6C0E025D"/>
    <w:rsid w:val="6C880962"/>
    <w:rsid w:val="6D0B604A"/>
    <w:rsid w:val="6DAC05BE"/>
    <w:rsid w:val="6E0948CB"/>
    <w:rsid w:val="6E513045"/>
    <w:rsid w:val="6E663ACB"/>
    <w:rsid w:val="6E804DFF"/>
    <w:rsid w:val="6EA445F4"/>
    <w:rsid w:val="6ED07EFC"/>
    <w:rsid w:val="6F6D5C87"/>
    <w:rsid w:val="6F8373FF"/>
    <w:rsid w:val="6F9E54E7"/>
    <w:rsid w:val="6FA80114"/>
    <w:rsid w:val="6FD16561"/>
    <w:rsid w:val="6FD76303"/>
    <w:rsid w:val="6FDE7145"/>
    <w:rsid w:val="6FFC562B"/>
    <w:rsid w:val="7003131E"/>
    <w:rsid w:val="7009213F"/>
    <w:rsid w:val="70215690"/>
    <w:rsid w:val="7025059A"/>
    <w:rsid w:val="702E0619"/>
    <w:rsid w:val="70311072"/>
    <w:rsid w:val="70AE3508"/>
    <w:rsid w:val="70E63DE0"/>
    <w:rsid w:val="71070D0D"/>
    <w:rsid w:val="712612F0"/>
    <w:rsid w:val="71344FFF"/>
    <w:rsid w:val="715D4FE8"/>
    <w:rsid w:val="725809D6"/>
    <w:rsid w:val="728269FA"/>
    <w:rsid w:val="729A1F96"/>
    <w:rsid w:val="734168B5"/>
    <w:rsid w:val="737A421D"/>
    <w:rsid w:val="73875405"/>
    <w:rsid w:val="73B74532"/>
    <w:rsid w:val="73DE4104"/>
    <w:rsid w:val="742A7349"/>
    <w:rsid w:val="74363C49"/>
    <w:rsid w:val="74425F26"/>
    <w:rsid w:val="7487479C"/>
    <w:rsid w:val="748922C2"/>
    <w:rsid w:val="74CA11F8"/>
    <w:rsid w:val="74CC7CBB"/>
    <w:rsid w:val="74CD2DFA"/>
    <w:rsid w:val="74E20428"/>
    <w:rsid w:val="7561059F"/>
    <w:rsid w:val="75695FAC"/>
    <w:rsid w:val="75A3409C"/>
    <w:rsid w:val="75D961A0"/>
    <w:rsid w:val="762C6AF6"/>
    <w:rsid w:val="765A6376"/>
    <w:rsid w:val="76955006"/>
    <w:rsid w:val="77392375"/>
    <w:rsid w:val="774E2667"/>
    <w:rsid w:val="775546DD"/>
    <w:rsid w:val="7793469B"/>
    <w:rsid w:val="77C74EAF"/>
    <w:rsid w:val="785C5E6F"/>
    <w:rsid w:val="789C2A58"/>
    <w:rsid w:val="78FF3EB4"/>
    <w:rsid w:val="7A4A386D"/>
    <w:rsid w:val="7A650E3C"/>
    <w:rsid w:val="7A9B18B0"/>
    <w:rsid w:val="7B002BB2"/>
    <w:rsid w:val="7B360113"/>
    <w:rsid w:val="7B4A526C"/>
    <w:rsid w:val="7B4C4B65"/>
    <w:rsid w:val="7B780F7C"/>
    <w:rsid w:val="7B9D6375"/>
    <w:rsid w:val="7C6D63F4"/>
    <w:rsid w:val="7C6F0B11"/>
    <w:rsid w:val="7C7E46D6"/>
    <w:rsid w:val="7C8660BD"/>
    <w:rsid w:val="7CA05978"/>
    <w:rsid w:val="7D1370F0"/>
    <w:rsid w:val="7E01736D"/>
    <w:rsid w:val="7F09259F"/>
    <w:rsid w:val="7F437511"/>
    <w:rsid w:val="7FBC5227"/>
    <w:rsid w:val="7FCD7FD5"/>
    <w:rsid w:val="7FD72BB2"/>
    <w:rsid w:val="7FEE047D"/>
    <w:rsid w:val="7FFC4290"/>
    <w:rsid w:val="7FFC43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64"/>
    <w:autoRedefine/>
    <w:qFormat/>
    <w:uiPriority w:val="99"/>
    <w:pPr>
      <w:keepNext/>
      <w:keepLines/>
      <w:spacing w:before="340" w:after="330" w:line="360" w:lineRule="auto"/>
      <w:jc w:val="center"/>
      <w:outlineLvl w:val="0"/>
    </w:pPr>
    <w:rPr>
      <w:rFonts w:eastAsia="仿宋"/>
      <w:b/>
      <w:bCs/>
      <w:kern w:val="44"/>
      <w:sz w:val="30"/>
      <w:szCs w:val="44"/>
    </w:rPr>
  </w:style>
  <w:style w:type="paragraph" w:styleId="7">
    <w:name w:val="heading 2"/>
    <w:basedOn w:val="1"/>
    <w:next w:val="1"/>
    <w:link w:val="65"/>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8">
    <w:name w:val="heading 3"/>
    <w:basedOn w:val="1"/>
    <w:next w:val="1"/>
    <w:link w:val="66"/>
    <w:autoRedefine/>
    <w:qFormat/>
    <w:uiPriority w:val="99"/>
    <w:pPr>
      <w:keepNext/>
      <w:keepLines/>
      <w:spacing w:before="260" w:after="260" w:line="416" w:lineRule="auto"/>
      <w:outlineLvl w:val="2"/>
    </w:pPr>
    <w:rPr>
      <w:b/>
      <w:bCs/>
      <w:sz w:val="32"/>
      <w:szCs w:val="32"/>
    </w:rPr>
  </w:style>
  <w:style w:type="paragraph" w:styleId="9">
    <w:name w:val="heading 4"/>
    <w:basedOn w:val="1"/>
    <w:next w:val="1"/>
    <w:link w:val="67"/>
    <w:autoRedefine/>
    <w:qFormat/>
    <w:uiPriority w:val="99"/>
    <w:pPr>
      <w:keepNext/>
      <w:keepLines/>
      <w:spacing w:before="280" w:after="290" w:line="372" w:lineRule="auto"/>
      <w:outlineLvl w:val="3"/>
    </w:pPr>
    <w:rPr>
      <w:rFonts w:ascii="Cambria" w:hAnsi="Cambria" w:cs="Cambria"/>
      <w:b/>
      <w:bCs/>
      <w:sz w:val="28"/>
      <w:szCs w:val="28"/>
    </w:rPr>
  </w:style>
  <w:style w:type="paragraph" w:styleId="10">
    <w:name w:val="heading 5"/>
    <w:basedOn w:val="1"/>
    <w:next w:val="1"/>
    <w:link w:val="68"/>
    <w:autoRedefine/>
    <w:qFormat/>
    <w:uiPriority w:val="99"/>
    <w:pPr>
      <w:keepNext/>
      <w:keepLines/>
      <w:spacing w:before="280" w:after="290" w:line="372" w:lineRule="auto"/>
      <w:outlineLvl w:val="4"/>
    </w:pPr>
    <w:rPr>
      <w:rFonts w:ascii="Calibri" w:hAnsi="Calibri" w:cs="Calibri"/>
      <w:b/>
      <w:bCs/>
      <w:sz w:val="28"/>
      <w:szCs w:val="28"/>
    </w:rPr>
  </w:style>
  <w:style w:type="paragraph" w:styleId="11">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2">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3">
    <w:name w:val="heading 8"/>
    <w:basedOn w:val="1"/>
    <w:next w:val="1"/>
    <w:link w:val="71"/>
    <w:autoRedefine/>
    <w:qFormat/>
    <w:uiPriority w:val="99"/>
    <w:pPr>
      <w:keepNext/>
      <w:keepLines/>
      <w:spacing w:before="240" w:after="64" w:line="317" w:lineRule="auto"/>
      <w:outlineLvl w:val="7"/>
    </w:pPr>
    <w:rPr>
      <w:rFonts w:ascii="Cambria" w:hAnsi="Cambria" w:cs="Cambria"/>
      <w:sz w:val="24"/>
      <w:szCs w:val="24"/>
    </w:rPr>
  </w:style>
  <w:style w:type="paragraph" w:styleId="14">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90"/>
    <w:autoRedefine/>
    <w:qFormat/>
    <w:uiPriority w:val="99"/>
    <w:pPr>
      <w:ind w:firstLine="420" w:firstLineChars="200"/>
    </w:pPr>
  </w:style>
  <w:style w:type="paragraph" w:styleId="3">
    <w:name w:val="Body Text Indent"/>
    <w:basedOn w:val="1"/>
    <w:next w:val="4"/>
    <w:link w:val="77"/>
    <w:autoRedefine/>
    <w:qFormat/>
    <w:uiPriority w:val="99"/>
    <w:pPr>
      <w:spacing w:line="500" w:lineRule="exact"/>
      <w:ind w:firstLine="538"/>
    </w:pPr>
    <w:rPr>
      <w:sz w:val="28"/>
      <w:szCs w:val="28"/>
    </w:rPr>
  </w:style>
  <w:style w:type="paragraph" w:styleId="4">
    <w:name w:val="envelope return"/>
    <w:basedOn w:val="1"/>
    <w:next w:val="5"/>
    <w:autoRedefine/>
    <w:qFormat/>
    <w:uiPriority w:val="99"/>
    <w:pPr>
      <w:snapToGrid w:val="0"/>
    </w:pPr>
    <w:rPr>
      <w:rFonts w:ascii="Arial" w:hAnsi="Arial"/>
    </w:rPr>
  </w:style>
  <w:style w:type="paragraph" w:styleId="5">
    <w:name w:val="toc 7"/>
    <w:basedOn w:val="1"/>
    <w:next w:val="1"/>
    <w:autoRedefine/>
    <w:semiHidden/>
    <w:qFormat/>
    <w:uiPriority w:val="99"/>
    <w:pPr>
      <w:ind w:left="2520" w:leftChars="1200"/>
    </w:pPr>
    <w:rPr>
      <w:rFonts w:ascii="Calibri" w:hAnsi="Calibri" w:cs="Calibri"/>
    </w:rPr>
  </w:style>
  <w:style w:type="paragraph" w:styleId="15">
    <w:name w:val="caption"/>
    <w:basedOn w:val="1"/>
    <w:next w:val="1"/>
    <w:autoRedefine/>
    <w:qFormat/>
    <w:uiPriority w:val="99"/>
    <w:rPr>
      <w:rFonts w:ascii="Cambria" w:hAnsi="Cambria" w:eastAsia="黑体" w:cs="Cambria"/>
      <w:sz w:val="20"/>
      <w:szCs w:val="20"/>
    </w:rPr>
  </w:style>
  <w:style w:type="paragraph" w:styleId="16">
    <w:name w:val="Document Map"/>
    <w:basedOn w:val="1"/>
    <w:link w:val="73"/>
    <w:autoRedefine/>
    <w:semiHidden/>
    <w:qFormat/>
    <w:uiPriority w:val="99"/>
    <w:pPr>
      <w:shd w:val="clear" w:color="auto" w:fill="000080"/>
    </w:pPr>
    <w:rPr>
      <w:kern w:val="0"/>
      <w:sz w:val="20"/>
      <w:szCs w:val="20"/>
      <w:shd w:val="clear" w:color="auto" w:fill="000080"/>
    </w:rPr>
  </w:style>
  <w:style w:type="paragraph" w:styleId="17">
    <w:name w:val="annotation text"/>
    <w:basedOn w:val="1"/>
    <w:link w:val="74"/>
    <w:autoRedefine/>
    <w:semiHidden/>
    <w:qFormat/>
    <w:uiPriority w:val="99"/>
    <w:pPr>
      <w:jc w:val="left"/>
    </w:pPr>
  </w:style>
  <w:style w:type="paragraph" w:styleId="18">
    <w:name w:val="Body Text 3"/>
    <w:basedOn w:val="1"/>
    <w:link w:val="75"/>
    <w:autoRedefine/>
    <w:qFormat/>
    <w:uiPriority w:val="99"/>
    <w:rPr>
      <w:rFonts w:ascii="宋体" w:cs="宋体"/>
      <w:sz w:val="24"/>
      <w:szCs w:val="24"/>
    </w:rPr>
  </w:style>
  <w:style w:type="paragraph" w:styleId="19">
    <w:name w:val="Body Text"/>
    <w:basedOn w:val="1"/>
    <w:link w:val="76"/>
    <w:autoRedefine/>
    <w:qFormat/>
    <w:uiPriority w:val="99"/>
    <w:pPr>
      <w:jc w:val="center"/>
    </w:pPr>
    <w:rPr>
      <w:b/>
      <w:bCs/>
      <w:sz w:val="44"/>
      <w:szCs w:val="44"/>
    </w:rPr>
  </w:style>
  <w:style w:type="paragraph" w:styleId="20">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autoRedefine/>
    <w:semiHidden/>
    <w:qFormat/>
    <w:uiPriority w:val="99"/>
    <w:pPr>
      <w:ind w:left="600" w:leftChars="600"/>
    </w:pPr>
  </w:style>
  <w:style w:type="paragraph" w:styleId="22">
    <w:name w:val="toc 5"/>
    <w:basedOn w:val="1"/>
    <w:next w:val="1"/>
    <w:autoRedefine/>
    <w:semiHidden/>
    <w:qFormat/>
    <w:uiPriority w:val="99"/>
    <w:pPr>
      <w:tabs>
        <w:tab w:val="right" w:leader="dot" w:pos="8296"/>
      </w:tabs>
      <w:ind w:left="1050" w:leftChars="500"/>
    </w:pPr>
    <w:rPr>
      <w:rFonts w:ascii="Calibri" w:hAnsi="Calibri" w:cs="Calibri"/>
    </w:rPr>
  </w:style>
  <w:style w:type="paragraph" w:styleId="23">
    <w:name w:val="toc 3"/>
    <w:basedOn w:val="1"/>
    <w:next w:val="1"/>
    <w:autoRedefine/>
    <w:semiHidden/>
    <w:qFormat/>
    <w:uiPriority w:val="99"/>
    <w:pPr>
      <w:ind w:left="840" w:leftChars="400"/>
    </w:pPr>
    <w:rPr>
      <w:rFonts w:ascii="Calibri" w:hAnsi="Calibri" w:cs="Calibri"/>
    </w:rPr>
  </w:style>
  <w:style w:type="paragraph" w:styleId="24">
    <w:name w:val="Plain Text"/>
    <w:basedOn w:val="1"/>
    <w:next w:val="1"/>
    <w:link w:val="78"/>
    <w:autoRedefine/>
    <w:qFormat/>
    <w:uiPriority w:val="99"/>
    <w:rPr>
      <w:rFonts w:ascii="宋体" w:hAnsi="Courier New" w:cs="宋体"/>
    </w:rPr>
  </w:style>
  <w:style w:type="paragraph" w:styleId="25">
    <w:name w:val="toc 8"/>
    <w:basedOn w:val="1"/>
    <w:next w:val="1"/>
    <w:autoRedefine/>
    <w:semiHidden/>
    <w:qFormat/>
    <w:uiPriority w:val="99"/>
    <w:pPr>
      <w:ind w:left="2940" w:leftChars="1400"/>
    </w:pPr>
    <w:rPr>
      <w:rFonts w:ascii="Calibri" w:hAnsi="Calibri" w:cs="Calibri"/>
    </w:rPr>
  </w:style>
  <w:style w:type="paragraph" w:styleId="26">
    <w:name w:val="Date"/>
    <w:basedOn w:val="1"/>
    <w:next w:val="1"/>
    <w:link w:val="79"/>
    <w:autoRedefine/>
    <w:qFormat/>
    <w:uiPriority w:val="99"/>
    <w:rPr>
      <w:rFonts w:ascii="仿宋_GB2312" w:eastAsia="仿宋_GB2312" w:cs="仿宋_GB2312"/>
      <w:sz w:val="30"/>
      <w:szCs w:val="30"/>
    </w:rPr>
  </w:style>
  <w:style w:type="paragraph" w:styleId="27">
    <w:name w:val="Body Text Indent 2"/>
    <w:basedOn w:val="1"/>
    <w:link w:val="80"/>
    <w:autoRedefine/>
    <w:qFormat/>
    <w:uiPriority w:val="99"/>
    <w:pPr>
      <w:spacing w:line="360" w:lineRule="exact"/>
      <w:ind w:firstLine="600" w:firstLineChars="250"/>
      <w:jc w:val="left"/>
    </w:pPr>
    <w:rPr>
      <w:sz w:val="24"/>
      <w:szCs w:val="24"/>
    </w:rPr>
  </w:style>
  <w:style w:type="paragraph" w:styleId="28">
    <w:name w:val="Balloon Text"/>
    <w:basedOn w:val="1"/>
    <w:link w:val="81"/>
    <w:autoRedefine/>
    <w:semiHidden/>
    <w:qFormat/>
    <w:uiPriority w:val="99"/>
    <w:rPr>
      <w:sz w:val="18"/>
      <w:szCs w:val="18"/>
    </w:rPr>
  </w:style>
  <w:style w:type="paragraph" w:styleId="29">
    <w:name w:val="footer"/>
    <w:basedOn w:val="1"/>
    <w:link w:val="82"/>
    <w:autoRedefine/>
    <w:qFormat/>
    <w:uiPriority w:val="99"/>
    <w:pPr>
      <w:tabs>
        <w:tab w:val="center" w:pos="4153"/>
        <w:tab w:val="right" w:pos="8306"/>
      </w:tabs>
      <w:snapToGrid w:val="0"/>
      <w:jc w:val="left"/>
    </w:pPr>
    <w:rPr>
      <w:sz w:val="18"/>
      <w:szCs w:val="18"/>
    </w:rPr>
  </w:style>
  <w:style w:type="paragraph" w:styleId="30">
    <w:name w:val="header"/>
    <w:basedOn w:val="1"/>
    <w:link w:val="83"/>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autoRedefine/>
    <w:qFormat/>
    <w:uiPriority w:val="99"/>
    <w:pPr>
      <w:spacing w:before="240" w:after="60" w:line="312" w:lineRule="auto"/>
      <w:jc w:val="center"/>
      <w:outlineLvl w:val="1"/>
    </w:pPr>
    <w:rPr>
      <w:rFonts w:ascii="Cambria" w:hAnsi="Cambria" w:cs="Cambria"/>
      <w:b/>
      <w:bCs/>
      <w:kern w:val="28"/>
      <w:sz w:val="32"/>
      <w:szCs w:val="32"/>
    </w:rPr>
  </w:style>
  <w:style w:type="paragraph" w:styleId="34">
    <w:name w:val="List"/>
    <w:basedOn w:val="1"/>
    <w:autoRedefine/>
    <w:qFormat/>
    <w:locked/>
    <w:uiPriority w:val="0"/>
    <w:pPr>
      <w:ind w:left="200" w:hanging="200" w:hangingChars="200"/>
    </w:pPr>
  </w:style>
  <w:style w:type="paragraph" w:styleId="35">
    <w:name w:val="footnote text"/>
    <w:basedOn w:val="1"/>
    <w:link w:val="85"/>
    <w:autoRedefine/>
    <w:semiHidden/>
    <w:qFormat/>
    <w:uiPriority w:val="99"/>
    <w:rPr>
      <w:sz w:val="20"/>
      <w:szCs w:val="20"/>
    </w:rPr>
  </w:style>
  <w:style w:type="paragraph" w:styleId="36">
    <w:name w:val="toc 6"/>
    <w:basedOn w:val="1"/>
    <w:next w:val="1"/>
    <w:autoRedefine/>
    <w:semiHidden/>
    <w:qFormat/>
    <w:uiPriority w:val="99"/>
    <w:pPr>
      <w:ind w:left="2100" w:leftChars="1000"/>
    </w:pPr>
    <w:rPr>
      <w:rFonts w:ascii="Calibri" w:hAnsi="Calibri" w:cs="Calibri"/>
    </w:rPr>
  </w:style>
  <w:style w:type="paragraph" w:styleId="37">
    <w:name w:val="Body Text Indent 3"/>
    <w:basedOn w:val="1"/>
    <w:link w:val="86"/>
    <w:autoRedefine/>
    <w:qFormat/>
    <w:uiPriority w:val="99"/>
    <w:pPr>
      <w:spacing w:after="120"/>
      <w:ind w:left="420" w:leftChars="200"/>
    </w:pPr>
    <w:rPr>
      <w:sz w:val="16"/>
      <w:szCs w:val="16"/>
    </w:rPr>
  </w:style>
  <w:style w:type="paragraph" w:styleId="38">
    <w:name w:val="table of figures"/>
    <w:basedOn w:val="1"/>
    <w:next w:val="1"/>
    <w:autoRedefine/>
    <w:semiHidden/>
    <w:qFormat/>
    <w:uiPriority w:val="99"/>
    <w:pPr>
      <w:ind w:left="200" w:leftChars="200" w:hanging="200" w:hangingChars="200"/>
    </w:pPr>
  </w:style>
  <w:style w:type="paragraph" w:styleId="39">
    <w:name w:val="toc 2"/>
    <w:basedOn w:val="1"/>
    <w:next w:val="1"/>
    <w:autoRedefine/>
    <w:semiHidden/>
    <w:qFormat/>
    <w:uiPriority w:val="99"/>
    <w:pPr>
      <w:ind w:left="420" w:leftChars="200"/>
    </w:pPr>
    <w:rPr>
      <w:rFonts w:ascii="宋体" w:cs="宋体"/>
      <w:b/>
      <w:bCs/>
      <w:sz w:val="28"/>
      <w:szCs w:val="28"/>
    </w:rPr>
  </w:style>
  <w:style w:type="paragraph" w:styleId="40">
    <w:name w:val="toc 9"/>
    <w:basedOn w:val="1"/>
    <w:next w:val="1"/>
    <w:autoRedefine/>
    <w:semiHidden/>
    <w:qFormat/>
    <w:uiPriority w:val="99"/>
    <w:pPr>
      <w:ind w:left="3360" w:leftChars="1600"/>
    </w:pPr>
    <w:rPr>
      <w:rFonts w:ascii="Calibri" w:hAnsi="Calibri" w:cs="Calibri"/>
    </w:rPr>
  </w:style>
  <w:style w:type="paragraph" w:styleId="41">
    <w:name w:val="Body Text 2"/>
    <w:basedOn w:val="1"/>
    <w:link w:val="87"/>
    <w:autoRedefine/>
    <w:qFormat/>
    <w:uiPriority w:val="99"/>
    <w:pPr>
      <w:spacing w:line="440" w:lineRule="exact"/>
    </w:pPr>
    <w:rPr>
      <w:sz w:val="28"/>
      <w:szCs w:val="28"/>
    </w:rPr>
  </w:style>
  <w:style w:type="paragraph" w:styleId="42">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autoRedefine/>
    <w:qFormat/>
    <w:uiPriority w:val="99"/>
    <w:pPr>
      <w:spacing w:before="240" w:after="60"/>
      <w:jc w:val="center"/>
      <w:outlineLvl w:val="0"/>
    </w:pPr>
    <w:rPr>
      <w:rFonts w:ascii="Cambria" w:hAnsi="Cambria" w:cs="Cambria"/>
      <w:b/>
      <w:bCs/>
      <w:sz w:val="32"/>
      <w:szCs w:val="32"/>
    </w:rPr>
  </w:style>
  <w:style w:type="paragraph" w:styleId="44">
    <w:name w:val="annotation subject"/>
    <w:basedOn w:val="17"/>
    <w:next w:val="17"/>
    <w:link w:val="89"/>
    <w:autoRedefine/>
    <w:semiHidden/>
    <w:qFormat/>
    <w:uiPriority w:val="99"/>
    <w:rPr>
      <w:rFonts w:ascii="宋体" w:cs="宋体"/>
      <w:b/>
      <w:bCs/>
      <w:kern w:val="0"/>
      <w:sz w:val="28"/>
      <w:szCs w:val="28"/>
    </w:rPr>
  </w:style>
  <w:style w:type="table" w:styleId="46">
    <w:name w:val="Table Grid"/>
    <w:basedOn w:val="4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99"/>
    <w:rPr>
      <w:rFonts w:cs="Times New Roman"/>
      <w:b/>
      <w:bCs/>
    </w:rPr>
  </w:style>
  <w:style w:type="character" w:styleId="49">
    <w:name w:val="page number"/>
    <w:basedOn w:val="47"/>
    <w:autoRedefine/>
    <w:qFormat/>
    <w:uiPriority w:val="99"/>
    <w:rPr>
      <w:rFonts w:cs="Times New Roman"/>
    </w:rPr>
  </w:style>
  <w:style w:type="character" w:styleId="50">
    <w:name w:val="FollowedHyperlink"/>
    <w:basedOn w:val="47"/>
    <w:autoRedefine/>
    <w:qFormat/>
    <w:uiPriority w:val="99"/>
    <w:rPr>
      <w:rFonts w:cs="Times New Roman"/>
      <w:color w:val="333333"/>
      <w:u w:val="none"/>
    </w:rPr>
  </w:style>
  <w:style w:type="character" w:styleId="51">
    <w:name w:val="Emphasis"/>
    <w:basedOn w:val="47"/>
    <w:autoRedefine/>
    <w:qFormat/>
    <w:uiPriority w:val="99"/>
    <w:rPr>
      <w:rFonts w:cs="Times New Roman"/>
      <w:color w:val="auto"/>
    </w:rPr>
  </w:style>
  <w:style w:type="character" w:styleId="52">
    <w:name w:val="HTML Definition"/>
    <w:basedOn w:val="47"/>
    <w:autoRedefine/>
    <w:qFormat/>
    <w:uiPriority w:val="99"/>
    <w:rPr>
      <w:rFonts w:cs="Times New Roman"/>
    </w:rPr>
  </w:style>
  <w:style w:type="character" w:styleId="53">
    <w:name w:val="HTML Typewriter"/>
    <w:basedOn w:val="47"/>
    <w:autoRedefine/>
    <w:qFormat/>
    <w:uiPriority w:val="99"/>
    <w:rPr>
      <w:rFonts w:ascii="monospace" w:hAnsi="monospace" w:cs="monospace"/>
      <w:sz w:val="20"/>
    </w:rPr>
  </w:style>
  <w:style w:type="character" w:styleId="54">
    <w:name w:val="HTML Acronym"/>
    <w:basedOn w:val="47"/>
    <w:autoRedefine/>
    <w:qFormat/>
    <w:uiPriority w:val="99"/>
    <w:rPr>
      <w:rFonts w:cs="Times New Roman"/>
    </w:rPr>
  </w:style>
  <w:style w:type="character" w:styleId="55">
    <w:name w:val="HTML Variable"/>
    <w:basedOn w:val="47"/>
    <w:autoRedefine/>
    <w:qFormat/>
    <w:uiPriority w:val="99"/>
    <w:rPr>
      <w:rFonts w:cs="Times New Roman"/>
    </w:rPr>
  </w:style>
  <w:style w:type="character" w:styleId="56">
    <w:name w:val="Hyperlink"/>
    <w:basedOn w:val="47"/>
    <w:autoRedefine/>
    <w:qFormat/>
    <w:uiPriority w:val="99"/>
    <w:rPr>
      <w:rFonts w:cs="Times New Roman"/>
      <w:color w:val="333333"/>
      <w:u w:val="none"/>
    </w:rPr>
  </w:style>
  <w:style w:type="character" w:styleId="57">
    <w:name w:val="HTML Code"/>
    <w:basedOn w:val="47"/>
    <w:autoRedefine/>
    <w:qFormat/>
    <w:uiPriority w:val="99"/>
    <w:rPr>
      <w:rFonts w:ascii="monospace" w:hAnsi="monospace" w:cs="monospace"/>
      <w:sz w:val="20"/>
    </w:rPr>
  </w:style>
  <w:style w:type="character" w:styleId="58">
    <w:name w:val="annotation reference"/>
    <w:basedOn w:val="47"/>
    <w:autoRedefine/>
    <w:semiHidden/>
    <w:qFormat/>
    <w:uiPriority w:val="99"/>
    <w:rPr>
      <w:rFonts w:cs="Times New Roman"/>
      <w:sz w:val="21"/>
      <w:szCs w:val="21"/>
    </w:rPr>
  </w:style>
  <w:style w:type="character" w:styleId="59">
    <w:name w:val="HTML Cite"/>
    <w:basedOn w:val="47"/>
    <w:autoRedefine/>
    <w:qFormat/>
    <w:uiPriority w:val="99"/>
    <w:rPr>
      <w:rFonts w:cs="Times New Roman"/>
    </w:rPr>
  </w:style>
  <w:style w:type="character" w:styleId="60">
    <w:name w:val="footnote reference"/>
    <w:basedOn w:val="47"/>
    <w:autoRedefine/>
    <w:semiHidden/>
    <w:qFormat/>
    <w:uiPriority w:val="99"/>
    <w:rPr>
      <w:rFonts w:cs="Times New Roman"/>
      <w:vertAlign w:val="superscript"/>
    </w:rPr>
  </w:style>
  <w:style w:type="character" w:styleId="61">
    <w:name w:val="HTML Keyboard"/>
    <w:basedOn w:val="47"/>
    <w:autoRedefine/>
    <w:qFormat/>
    <w:uiPriority w:val="99"/>
    <w:rPr>
      <w:rFonts w:ascii="monospace" w:hAnsi="monospace" w:cs="monospace"/>
      <w:sz w:val="20"/>
    </w:rPr>
  </w:style>
  <w:style w:type="character" w:styleId="62">
    <w:name w:val="HTML Sample"/>
    <w:basedOn w:val="47"/>
    <w:autoRedefine/>
    <w:qFormat/>
    <w:uiPriority w:val="99"/>
    <w:rPr>
      <w:rFonts w:ascii="monospace" w:hAnsi="monospace" w:cs="monospace"/>
    </w:rPr>
  </w:style>
  <w:style w:type="paragraph" w:customStyle="1" w:styleId="63">
    <w:name w:val="Normal Indent1"/>
    <w:basedOn w:val="1"/>
    <w:autoRedefine/>
    <w:qFormat/>
    <w:uiPriority w:val="0"/>
    <w:pPr>
      <w:adjustRightInd w:val="0"/>
      <w:spacing w:line="360" w:lineRule="atLeast"/>
      <w:ind w:firstLine="482"/>
      <w:textAlignment w:val="baseline"/>
    </w:pPr>
    <w:rPr>
      <w:kern w:val="0"/>
      <w:sz w:val="24"/>
      <w:szCs w:val="24"/>
    </w:rPr>
  </w:style>
  <w:style w:type="character" w:customStyle="1" w:styleId="64">
    <w:name w:val="标题 1 字符"/>
    <w:basedOn w:val="47"/>
    <w:link w:val="6"/>
    <w:autoRedefine/>
    <w:qFormat/>
    <w:locked/>
    <w:uiPriority w:val="99"/>
    <w:rPr>
      <w:rFonts w:ascii="Times New Roman" w:hAnsi="Times New Roman" w:eastAsia="仿宋" w:cs="Times New Roman"/>
      <w:b/>
      <w:bCs/>
      <w:kern w:val="44"/>
      <w:sz w:val="44"/>
      <w:szCs w:val="44"/>
      <w:lang w:val="en-US" w:eastAsia="zh-CN"/>
    </w:rPr>
  </w:style>
  <w:style w:type="character" w:customStyle="1" w:styleId="65">
    <w:name w:val="标题 2 字符"/>
    <w:basedOn w:val="47"/>
    <w:link w:val="7"/>
    <w:autoRedefine/>
    <w:qFormat/>
    <w:locked/>
    <w:uiPriority w:val="99"/>
    <w:rPr>
      <w:rFonts w:ascii="Arial" w:hAnsi="Arial" w:eastAsia="黑体" w:cs="Arial"/>
      <w:b/>
      <w:bCs/>
      <w:kern w:val="2"/>
      <w:sz w:val="32"/>
      <w:szCs w:val="32"/>
      <w:lang w:val="en-US" w:eastAsia="zh-CN"/>
    </w:rPr>
  </w:style>
  <w:style w:type="character" w:customStyle="1" w:styleId="66">
    <w:name w:val="标题 3 字符"/>
    <w:basedOn w:val="47"/>
    <w:link w:val="8"/>
    <w:autoRedefine/>
    <w:qFormat/>
    <w:locked/>
    <w:uiPriority w:val="99"/>
    <w:rPr>
      <w:rFonts w:eastAsia="宋体" w:cs="Times New Roman"/>
      <w:b/>
      <w:bCs/>
      <w:kern w:val="2"/>
      <w:sz w:val="32"/>
      <w:szCs w:val="32"/>
      <w:lang w:val="en-US" w:eastAsia="zh-CN"/>
    </w:rPr>
  </w:style>
  <w:style w:type="character" w:customStyle="1" w:styleId="67">
    <w:name w:val="标题 4 字符"/>
    <w:basedOn w:val="47"/>
    <w:link w:val="9"/>
    <w:autoRedefine/>
    <w:qFormat/>
    <w:locked/>
    <w:uiPriority w:val="99"/>
    <w:rPr>
      <w:rFonts w:ascii="Cambria" w:hAnsi="Cambria" w:eastAsia="宋体" w:cs="Cambria"/>
      <w:b/>
      <w:bCs/>
      <w:kern w:val="2"/>
      <w:sz w:val="28"/>
      <w:szCs w:val="28"/>
      <w:lang w:val="en-US" w:eastAsia="zh-CN"/>
    </w:rPr>
  </w:style>
  <w:style w:type="character" w:customStyle="1" w:styleId="68">
    <w:name w:val="标题 5 字符"/>
    <w:basedOn w:val="47"/>
    <w:link w:val="10"/>
    <w:autoRedefine/>
    <w:qFormat/>
    <w:locked/>
    <w:uiPriority w:val="99"/>
    <w:rPr>
      <w:rFonts w:ascii="Calibri" w:hAnsi="Calibri" w:eastAsia="宋体" w:cs="Calibri"/>
      <w:b/>
      <w:bCs/>
      <w:kern w:val="2"/>
      <w:sz w:val="28"/>
      <w:szCs w:val="28"/>
      <w:lang w:val="en-US" w:eastAsia="zh-CN"/>
    </w:rPr>
  </w:style>
  <w:style w:type="character" w:customStyle="1" w:styleId="69">
    <w:name w:val="标题 6 字符"/>
    <w:basedOn w:val="47"/>
    <w:link w:val="11"/>
    <w:autoRedefine/>
    <w:qFormat/>
    <w:locked/>
    <w:uiPriority w:val="99"/>
    <w:rPr>
      <w:rFonts w:ascii="Cambria" w:hAnsi="Cambria" w:eastAsia="宋体" w:cs="Cambria"/>
      <w:b/>
      <w:bCs/>
      <w:kern w:val="2"/>
      <w:sz w:val="24"/>
      <w:szCs w:val="24"/>
      <w:lang w:val="en-US" w:eastAsia="zh-CN"/>
    </w:rPr>
  </w:style>
  <w:style w:type="character" w:customStyle="1" w:styleId="70">
    <w:name w:val="标题 7 字符"/>
    <w:basedOn w:val="47"/>
    <w:link w:val="12"/>
    <w:autoRedefine/>
    <w:qFormat/>
    <w:locked/>
    <w:uiPriority w:val="99"/>
    <w:rPr>
      <w:rFonts w:ascii="Calibri" w:hAnsi="Calibri" w:eastAsia="宋体" w:cs="Calibri"/>
      <w:b/>
      <w:bCs/>
      <w:kern w:val="2"/>
      <w:sz w:val="24"/>
      <w:szCs w:val="24"/>
      <w:lang w:val="en-US" w:eastAsia="zh-CN"/>
    </w:rPr>
  </w:style>
  <w:style w:type="character" w:customStyle="1" w:styleId="71">
    <w:name w:val="标题 8 字符"/>
    <w:basedOn w:val="47"/>
    <w:link w:val="13"/>
    <w:qFormat/>
    <w:locked/>
    <w:uiPriority w:val="99"/>
    <w:rPr>
      <w:rFonts w:ascii="Cambria" w:hAnsi="Cambria" w:eastAsia="宋体" w:cs="Cambria"/>
      <w:kern w:val="2"/>
      <w:sz w:val="24"/>
      <w:szCs w:val="24"/>
      <w:lang w:val="en-US" w:eastAsia="zh-CN"/>
    </w:rPr>
  </w:style>
  <w:style w:type="character" w:customStyle="1" w:styleId="72">
    <w:name w:val="标题 9 字符"/>
    <w:basedOn w:val="47"/>
    <w:link w:val="14"/>
    <w:qFormat/>
    <w:locked/>
    <w:uiPriority w:val="99"/>
    <w:rPr>
      <w:rFonts w:ascii="Cambria" w:hAnsi="Cambria" w:eastAsia="宋体" w:cs="Cambria"/>
      <w:kern w:val="2"/>
      <w:sz w:val="21"/>
      <w:szCs w:val="21"/>
      <w:lang w:val="en-US" w:eastAsia="zh-CN"/>
    </w:rPr>
  </w:style>
  <w:style w:type="character" w:customStyle="1" w:styleId="73">
    <w:name w:val="文档结构图 字符"/>
    <w:basedOn w:val="47"/>
    <w:link w:val="16"/>
    <w:autoRedefine/>
    <w:qFormat/>
    <w:locked/>
    <w:uiPriority w:val="99"/>
    <w:rPr>
      <w:rFonts w:cs="Times New Roman"/>
      <w:sz w:val="24"/>
      <w:szCs w:val="24"/>
      <w:shd w:val="clear" w:color="auto" w:fill="000080"/>
    </w:rPr>
  </w:style>
  <w:style w:type="character" w:customStyle="1" w:styleId="74">
    <w:name w:val="批注文字 字符"/>
    <w:basedOn w:val="47"/>
    <w:link w:val="17"/>
    <w:autoRedefine/>
    <w:qFormat/>
    <w:locked/>
    <w:uiPriority w:val="99"/>
    <w:rPr>
      <w:rFonts w:cs="Times New Roman"/>
      <w:kern w:val="2"/>
      <w:sz w:val="22"/>
      <w:szCs w:val="22"/>
    </w:rPr>
  </w:style>
  <w:style w:type="character" w:customStyle="1" w:styleId="75">
    <w:name w:val="正文文本 3 字符"/>
    <w:basedOn w:val="47"/>
    <w:link w:val="18"/>
    <w:autoRedefine/>
    <w:semiHidden/>
    <w:qFormat/>
    <w:locked/>
    <w:uiPriority w:val="99"/>
    <w:rPr>
      <w:rFonts w:cs="Times New Roman"/>
      <w:sz w:val="16"/>
      <w:szCs w:val="16"/>
    </w:rPr>
  </w:style>
  <w:style w:type="character" w:customStyle="1" w:styleId="76">
    <w:name w:val="正文文本 字符"/>
    <w:basedOn w:val="47"/>
    <w:link w:val="19"/>
    <w:autoRedefine/>
    <w:qFormat/>
    <w:locked/>
    <w:uiPriority w:val="99"/>
    <w:rPr>
      <w:rFonts w:eastAsia="宋体" w:cs="Times New Roman"/>
      <w:b/>
      <w:bCs/>
      <w:kern w:val="2"/>
      <w:sz w:val="44"/>
      <w:szCs w:val="44"/>
      <w:lang w:val="en-US" w:eastAsia="zh-CN"/>
    </w:rPr>
  </w:style>
  <w:style w:type="character" w:customStyle="1" w:styleId="77">
    <w:name w:val="正文文本缩进 字符"/>
    <w:basedOn w:val="47"/>
    <w:link w:val="3"/>
    <w:autoRedefine/>
    <w:semiHidden/>
    <w:qFormat/>
    <w:locked/>
    <w:uiPriority w:val="99"/>
    <w:rPr>
      <w:rFonts w:cs="Times New Roman"/>
      <w:sz w:val="21"/>
      <w:szCs w:val="21"/>
    </w:rPr>
  </w:style>
  <w:style w:type="character" w:customStyle="1" w:styleId="78">
    <w:name w:val="纯文本 字符"/>
    <w:basedOn w:val="47"/>
    <w:link w:val="24"/>
    <w:autoRedefine/>
    <w:semiHidden/>
    <w:qFormat/>
    <w:locked/>
    <w:uiPriority w:val="99"/>
    <w:rPr>
      <w:rFonts w:ascii="宋体" w:hAnsi="Courier New" w:cs="Courier New"/>
      <w:sz w:val="21"/>
      <w:szCs w:val="21"/>
    </w:rPr>
  </w:style>
  <w:style w:type="character" w:customStyle="1" w:styleId="79">
    <w:name w:val="日期 字符"/>
    <w:basedOn w:val="47"/>
    <w:link w:val="26"/>
    <w:autoRedefine/>
    <w:qFormat/>
    <w:locked/>
    <w:uiPriority w:val="99"/>
    <w:rPr>
      <w:rFonts w:ascii="仿宋_GB2312" w:eastAsia="仿宋_GB2312" w:cs="仿宋_GB2312"/>
      <w:kern w:val="2"/>
      <w:sz w:val="30"/>
      <w:szCs w:val="30"/>
      <w:lang w:val="en-US" w:eastAsia="zh-CN"/>
    </w:rPr>
  </w:style>
  <w:style w:type="character" w:customStyle="1" w:styleId="80">
    <w:name w:val="正文文本缩进 2 字符"/>
    <w:basedOn w:val="47"/>
    <w:link w:val="27"/>
    <w:autoRedefine/>
    <w:semiHidden/>
    <w:qFormat/>
    <w:locked/>
    <w:uiPriority w:val="99"/>
    <w:rPr>
      <w:rFonts w:cs="Times New Roman"/>
      <w:sz w:val="21"/>
      <w:szCs w:val="21"/>
    </w:rPr>
  </w:style>
  <w:style w:type="character" w:customStyle="1" w:styleId="81">
    <w:name w:val="批注框文本 字符"/>
    <w:basedOn w:val="47"/>
    <w:link w:val="28"/>
    <w:autoRedefine/>
    <w:semiHidden/>
    <w:qFormat/>
    <w:locked/>
    <w:uiPriority w:val="99"/>
    <w:rPr>
      <w:rFonts w:cs="Times New Roman"/>
      <w:sz w:val="2"/>
    </w:rPr>
  </w:style>
  <w:style w:type="character" w:customStyle="1" w:styleId="82">
    <w:name w:val="页脚 字符"/>
    <w:basedOn w:val="47"/>
    <w:link w:val="29"/>
    <w:autoRedefine/>
    <w:qFormat/>
    <w:locked/>
    <w:uiPriority w:val="99"/>
    <w:rPr>
      <w:rFonts w:eastAsia="宋体" w:cs="Times New Roman"/>
      <w:kern w:val="2"/>
      <w:sz w:val="18"/>
      <w:szCs w:val="18"/>
      <w:lang w:val="en-US" w:eastAsia="zh-CN"/>
    </w:rPr>
  </w:style>
  <w:style w:type="character" w:customStyle="1" w:styleId="83">
    <w:name w:val="页眉 字符"/>
    <w:basedOn w:val="47"/>
    <w:link w:val="30"/>
    <w:autoRedefine/>
    <w:qFormat/>
    <w:locked/>
    <w:uiPriority w:val="99"/>
    <w:rPr>
      <w:rFonts w:eastAsia="宋体" w:cs="Times New Roman"/>
      <w:kern w:val="2"/>
      <w:sz w:val="18"/>
      <w:szCs w:val="18"/>
      <w:lang w:val="en-US" w:eastAsia="zh-CN"/>
    </w:rPr>
  </w:style>
  <w:style w:type="character" w:customStyle="1" w:styleId="84">
    <w:name w:val="副标题 字符"/>
    <w:basedOn w:val="47"/>
    <w:link w:val="33"/>
    <w:autoRedefine/>
    <w:qFormat/>
    <w:locked/>
    <w:uiPriority w:val="99"/>
    <w:rPr>
      <w:rFonts w:ascii="Cambria" w:hAnsi="Cambria" w:cs="Cambria"/>
      <w:b/>
      <w:bCs/>
      <w:kern w:val="28"/>
      <w:sz w:val="32"/>
      <w:szCs w:val="32"/>
    </w:rPr>
  </w:style>
  <w:style w:type="character" w:customStyle="1" w:styleId="85">
    <w:name w:val="脚注文本 字符"/>
    <w:basedOn w:val="47"/>
    <w:link w:val="35"/>
    <w:autoRedefine/>
    <w:semiHidden/>
    <w:qFormat/>
    <w:locked/>
    <w:uiPriority w:val="99"/>
    <w:rPr>
      <w:rFonts w:cs="Times New Roman"/>
      <w:sz w:val="18"/>
      <w:szCs w:val="18"/>
    </w:rPr>
  </w:style>
  <w:style w:type="character" w:customStyle="1" w:styleId="86">
    <w:name w:val="正文文本缩进 3 字符"/>
    <w:basedOn w:val="47"/>
    <w:link w:val="37"/>
    <w:autoRedefine/>
    <w:semiHidden/>
    <w:qFormat/>
    <w:locked/>
    <w:uiPriority w:val="99"/>
    <w:rPr>
      <w:rFonts w:cs="Times New Roman"/>
      <w:sz w:val="16"/>
      <w:szCs w:val="16"/>
    </w:rPr>
  </w:style>
  <w:style w:type="character" w:customStyle="1" w:styleId="87">
    <w:name w:val="正文文本 2 字符"/>
    <w:basedOn w:val="47"/>
    <w:link w:val="41"/>
    <w:autoRedefine/>
    <w:semiHidden/>
    <w:qFormat/>
    <w:locked/>
    <w:uiPriority w:val="99"/>
    <w:rPr>
      <w:rFonts w:cs="Times New Roman"/>
      <w:sz w:val="21"/>
      <w:szCs w:val="21"/>
    </w:rPr>
  </w:style>
  <w:style w:type="character" w:customStyle="1" w:styleId="88">
    <w:name w:val="标题 字符"/>
    <w:basedOn w:val="47"/>
    <w:link w:val="43"/>
    <w:autoRedefine/>
    <w:qFormat/>
    <w:locked/>
    <w:uiPriority w:val="99"/>
    <w:rPr>
      <w:rFonts w:ascii="Cambria" w:hAnsi="Cambria" w:cs="Cambria"/>
      <w:b/>
      <w:bCs/>
      <w:kern w:val="2"/>
      <w:sz w:val="32"/>
      <w:szCs w:val="32"/>
    </w:rPr>
  </w:style>
  <w:style w:type="character" w:customStyle="1" w:styleId="89">
    <w:name w:val="批注主题 字符"/>
    <w:basedOn w:val="74"/>
    <w:link w:val="44"/>
    <w:autoRedefine/>
    <w:qFormat/>
    <w:locked/>
    <w:uiPriority w:val="99"/>
    <w:rPr>
      <w:rFonts w:ascii="宋体" w:cs="宋体"/>
      <w:b/>
      <w:bCs/>
      <w:kern w:val="2"/>
      <w:sz w:val="28"/>
      <w:szCs w:val="28"/>
    </w:rPr>
  </w:style>
  <w:style w:type="character" w:customStyle="1" w:styleId="90">
    <w:name w:val="正文文本首行缩进 2 字符"/>
    <w:basedOn w:val="77"/>
    <w:link w:val="2"/>
    <w:autoRedefine/>
    <w:semiHidden/>
    <w:qFormat/>
    <w:locked/>
    <w:uiPriority w:val="99"/>
    <w:rPr>
      <w:rFonts w:cs="Times New Roman"/>
      <w:sz w:val="21"/>
      <w:szCs w:val="21"/>
    </w:rPr>
  </w:style>
  <w:style w:type="character" w:customStyle="1" w:styleId="91">
    <w:name w:val="批注文字 Char Char"/>
    <w:autoRedefine/>
    <w:qFormat/>
    <w:uiPriority w:val="99"/>
    <w:rPr>
      <w:rFonts w:ascii="宋体" w:hAnsi="Times New Roman" w:eastAsia="宋体"/>
      <w:sz w:val="20"/>
    </w:rPr>
  </w:style>
  <w:style w:type="character" w:customStyle="1" w:styleId="92">
    <w:name w:val="标题 1 Char Char"/>
    <w:autoRedefine/>
    <w:qFormat/>
    <w:locked/>
    <w:uiPriority w:val="99"/>
    <w:rPr>
      <w:rFonts w:eastAsia="宋体"/>
      <w:b/>
      <w:kern w:val="44"/>
      <w:sz w:val="44"/>
      <w:lang w:val="en-US" w:eastAsia="zh-CN"/>
    </w:rPr>
  </w:style>
  <w:style w:type="character" w:customStyle="1" w:styleId="93">
    <w:name w:val="Char Char"/>
    <w:autoRedefine/>
    <w:qFormat/>
    <w:uiPriority w:val="99"/>
    <w:rPr>
      <w:rFonts w:ascii="Arial" w:hAnsi="Arial" w:eastAsia="黑体"/>
      <w:b/>
      <w:kern w:val="2"/>
      <w:sz w:val="32"/>
      <w:lang w:val="en-US" w:eastAsia="zh-CN"/>
    </w:rPr>
  </w:style>
  <w:style w:type="character" w:customStyle="1" w:styleId="94">
    <w:name w:val="明显参考1"/>
    <w:autoRedefine/>
    <w:qFormat/>
    <w:uiPriority w:val="99"/>
    <w:rPr>
      <w:b/>
      <w:smallCaps/>
      <w:color w:val="auto"/>
      <w:spacing w:val="5"/>
      <w:u w:val="single"/>
    </w:rPr>
  </w:style>
  <w:style w:type="character" w:customStyle="1" w:styleId="95">
    <w:name w:val="明显强调1"/>
    <w:autoRedefine/>
    <w:qFormat/>
    <w:uiPriority w:val="99"/>
    <w:rPr>
      <w:b/>
      <w:i/>
      <w:color w:val="4F81BD"/>
    </w:rPr>
  </w:style>
  <w:style w:type="character" w:customStyle="1" w:styleId="96">
    <w:name w:val="文档结构图 Char1"/>
    <w:autoRedefine/>
    <w:qFormat/>
    <w:uiPriority w:val="99"/>
    <w:rPr>
      <w:rFonts w:ascii="宋体"/>
      <w:kern w:val="2"/>
      <w:sz w:val="18"/>
    </w:rPr>
  </w:style>
  <w:style w:type="character" w:customStyle="1" w:styleId="97">
    <w:name w:val="日期 Char"/>
    <w:autoRedefine/>
    <w:qFormat/>
    <w:uiPriority w:val="99"/>
    <w:rPr>
      <w:rFonts w:ascii="仿宋_GB2312" w:eastAsia="仿宋_GB2312"/>
      <w:kern w:val="2"/>
      <w:sz w:val="30"/>
      <w:lang w:val="en-US" w:eastAsia="zh-CN"/>
    </w:rPr>
  </w:style>
  <w:style w:type="character" w:customStyle="1" w:styleId="98">
    <w:name w:val="textcontents"/>
    <w:autoRedefine/>
    <w:qFormat/>
    <w:uiPriority w:val="99"/>
  </w:style>
  <w:style w:type="character" w:customStyle="1" w:styleId="99">
    <w:name w:val="引用 Char"/>
    <w:link w:val="100"/>
    <w:autoRedefine/>
    <w:qFormat/>
    <w:locked/>
    <w:uiPriority w:val="99"/>
    <w:rPr>
      <w:i/>
      <w:color w:val="000000"/>
      <w:kern w:val="2"/>
      <w:sz w:val="22"/>
    </w:rPr>
  </w:style>
  <w:style w:type="paragraph" w:customStyle="1" w:styleId="100">
    <w:name w:val="引用1"/>
    <w:basedOn w:val="1"/>
    <w:next w:val="1"/>
    <w:link w:val="99"/>
    <w:autoRedefine/>
    <w:qFormat/>
    <w:uiPriority w:val="99"/>
    <w:rPr>
      <w:i/>
      <w:color w:val="000000"/>
      <w:sz w:val="22"/>
      <w:szCs w:val="20"/>
    </w:rPr>
  </w:style>
  <w:style w:type="character" w:customStyle="1" w:styleId="101">
    <w:name w:val="日期 Char1"/>
    <w:autoRedefine/>
    <w:qFormat/>
    <w:uiPriority w:val="99"/>
    <w:rPr>
      <w:kern w:val="2"/>
      <w:sz w:val="22"/>
    </w:rPr>
  </w:style>
  <w:style w:type="character" w:customStyle="1" w:styleId="102">
    <w:name w:val="不明显参考1"/>
    <w:autoRedefine/>
    <w:qFormat/>
    <w:uiPriority w:val="99"/>
    <w:rPr>
      <w:smallCaps/>
      <w:color w:val="auto"/>
      <w:u w:val="single"/>
    </w:rPr>
  </w:style>
  <w:style w:type="character" w:customStyle="1" w:styleId="103">
    <w:name w:val="批注框文本 Char1"/>
    <w:autoRedefine/>
    <w:qFormat/>
    <w:uiPriority w:val="99"/>
    <w:rPr>
      <w:kern w:val="2"/>
      <w:sz w:val="18"/>
    </w:rPr>
  </w:style>
  <w:style w:type="character" w:customStyle="1" w:styleId="104">
    <w:name w:val="不明显强调1"/>
    <w:autoRedefine/>
    <w:qFormat/>
    <w:uiPriority w:val="99"/>
    <w:rPr>
      <w:i/>
      <w:color w:val="808080"/>
    </w:rPr>
  </w:style>
  <w:style w:type="character" w:customStyle="1" w:styleId="105">
    <w:name w:val="标题4 Char Char"/>
    <w:link w:val="106"/>
    <w:autoRedefine/>
    <w:qFormat/>
    <w:locked/>
    <w:uiPriority w:val="99"/>
    <w:rPr>
      <w:rFonts w:ascii="Arial" w:hAnsi="Arial"/>
      <w:b/>
      <w:sz w:val="32"/>
    </w:rPr>
  </w:style>
  <w:style w:type="paragraph" w:customStyle="1" w:styleId="106">
    <w:name w:val="标题4"/>
    <w:basedOn w:val="7"/>
    <w:next w:val="21"/>
    <w:link w:val="105"/>
    <w:autoRedefine/>
    <w:qFormat/>
    <w:uiPriority w:val="99"/>
    <w:pPr>
      <w:spacing w:line="413" w:lineRule="auto"/>
    </w:pPr>
    <w:rPr>
      <w:rFonts w:eastAsia="宋体" w:cs="Times New Roman"/>
      <w:bCs w:val="0"/>
      <w:kern w:val="0"/>
      <w:szCs w:val="20"/>
    </w:rPr>
  </w:style>
  <w:style w:type="character" w:customStyle="1" w:styleId="107">
    <w:name w:val="书籍标题1"/>
    <w:autoRedefine/>
    <w:qFormat/>
    <w:uiPriority w:val="99"/>
    <w:rPr>
      <w:b/>
      <w:smallCaps/>
      <w:spacing w:val="5"/>
    </w:rPr>
  </w:style>
  <w:style w:type="character" w:customStyle="1" w:styleId="108">
    <w:name w:val="bigfont"/>
    <w:basedOn w:val="47"/>
    <w:autoRedefine/>
    <w:qFormat/>
    <w:uiPriority w:val="99"/>
    <w:rPr>
      <w:rFonts w:cs="Times New Roman"/>
    </w:rPr>
  </w:style>
  <w:style w:type="character" w:customStyle="1" w:styleId="109">
    <w:name w:val="news_title1"/>
    <w:autoRedefine/>
    <w:qFormat/>
    <w:uiPriority w:val="99"/>
    <w:rPr>
      <w:rFonts w:ascii="宋体" w:hAnsi="宋体" w:eastAsia="宋体"/>
      <w:b/>
      <w:color w:val="000000"/>
      <w:sz w:val="36"/>
      <w:u w:val="none"/>
    </w:rPr>
  </w:style>
  <w:style w:type="character" w:customStyle="1" w:styleId="110">
    <w:name w:val="标题5 Char Char"/>
    <w:link w:val="111"/>
    <w:autoRedefine/>
    <w:qFormat/>
    <w:locked/>
    <w:uiPriority w:val="99"/>
    <w:rPr>
      <w:rFonts w:ascii="Arial" w:hAnsi="Arial"/>
      <w:b/>
      <w:sz w:val="32"/>
    </w:rPr>
  </w:style>
  <w:style w:type="paragraph" w:customStyle="1" w:styleId="111">
    <w:name w:val="标题5"/>
    <w:basedOn w:val="8"/>
    <w:link w:val="110"/>
    <w:autoRedefine/>
    <w:qFormat/>
    <w:uiPriority w:val="99"/>
    <w:pPr>
      <w:spacing w:line="413" w:lineRule="auto"/>
    </w:pPr>
    <w:rPr>
      <w:rFonts w:ascii="Arial" w:hAnsi="Arial"/>
      <w:bCs w:val="0"/>
      <w:kern w:val="0"/>
      <w:szCs w:val="20"/>
    </w:rPr>
  </w:style>
  <w:style w:type="character" w:customStyle="1" w:styleId="112">
    <w:name w:val="font161"/>
    <w:autoRedefine/>
    <w:qFormat/>
    <w:uiPriority w:val="99"/>
    <w:rPr>
      <w:b/>
      <w:sz w:val="32"/>
    </w:rPr>
  </w:style>
  <w:style w:type="character" w:customStyle="1" w:styleId="113">
    <w:name w:val="标题 2 Char Char"/>
    <w:autoRedefine/>
    <w:qFormat/>
    <w:locked/>
    <w:uiPriority w:val="99"/>
    <w:rPr>
      <w:rFonts w:ascii="Arial" w:hAnsi="Arial" w:eastAsia="黑体"/>
      <w:b/>
      <w:kern w:val="2"/>
      <w:sz w:val="32"/>
      <w:lang w:val="en-US" w:eastAsia="zh-CN"/>
    </w:rPr>
  </w:style>
  <w:style w:type="character" w:customStyle="1" w:styleId="114">
    <w:name w:val="Char Char1"/>
    <w:autoRedefine/>
    <w:qFormat/>
    <w:uiPriority w:val="99"/>
    <w:rPr>
      <w:rFonts w:ascii="宋体" w:hAnsi="Times New Roman"/>
      <w:sz w:val="28"/>
    </w:rPr>
  </w:style>
  <w:style w:type="character" w:customStyle="1" w:styleId="115">
    <w:name w:val="明显引用 Char"/>
    <w:link w:val="116"/>
    <w:autoRedefine/>
    <w:qFormat/>
    <w:locked/>
    <w:uiPriority w:val="99"/>
    <w:rPr>
      <w:b/>
      <w:i/>
      <w:color w:val="4F81BD"/>
      <w:kern w:val="2"/>
      <w:sz w:val="22"/>
    </w:rPr>
  </w:style>
  <w:style w:type="paragraph" w:customStyle="1" w:styleId="116">
    <w:name w:val="明显引用1"/>
    <w:basedOn w:val="1"/>
    <w:next w:val="1"/>
    <w:link w:val="115"/>
    <w:autoRedefine/>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autoRedefine/>
    <w:qFormat/>
    <w:uiPriority w:val="99"/>
    <w:rPr>
      <w:b/>
      <w:kern w:val="2"/>
      <w:sz w:val="22"/>
    </w:rPr>
  </w:style>
  <w:style w:type="character" w:customStyle="1" w:styleId="118">
    <w:name w:val="正文文本 Char1"/>
    <w:autoRedefine/>
    <w:qFormat/>
    <w:uiPriority w:val="99"/>
    <w:rPr>
      <w:kern w:val="2"/>
      <w:sz w:val="22"/>
    </w:rPr>
  </w:style>
  <w:style w:type="paragraph" w:customStyle="1" w:styleId="119">
    <w:name w:val="默认段落字体 Para Char Char Char Char"/>
    <w:basedOn w:val="1"/>
    <w:autoRedefine/>
    <w:qFormat/>
    <w:uiPriority w:val="99"/>
  </w:style>
  <w:style w:type="paragraph" w:customStyle="1" w:styleId="120">
    <w:name w:val="Char Char Char Char Char Char Char Char Char Char Char Char Char"/>
    <w:basedOn w:val="1"/>
    <w:autoRedefine/>
    <w:qFormat/>
    <w:uiPriority w:val="99"/>
  </w:style>
  <w:style w:type="paragraph" w:customStyle="1" w:styleId="121">
    <w:name w:val="样式 标题 3 + (中文) 黑体 小四 非加粗 段前: 7.8 磅 段后: 0 磅 行距: 固定值 20 磅"/>
    <w:basedOn w:val="8"/>
    <w:autoRedefine/>
    <w:qFormat/>
    <w:uiPriority w:val="99"/>
    <w:pPr>
      <w:spacing w:before="0" w:after="0" w:line="400" w:lineRule="exact"/>
    </w:pPr>
    <w:rPr>
      <w:rFonts w:eastAsia="黑体"/>
      <w:b w:val="0"/>
      <w:bCs w:val="0"/>
      <w:sz w:val="24"/>
      <w:szCs w:val="24"/>
    </w:rPr>
  </w:style>
  <w:style w:type="paragraph" w:customStyle="1" w:styleId="122">
    <w:name w:val="表格文字"/>
    <w:basedOn w:val="1"/>
    <w:autoRedefine/>
    <w:qFormat/>
    <w:uiPriority w:val="99"/>
    <w:pPr>
      <w:adjustRightInd w:val="0"/>
      <w:spacing w:line="420" w:lineRule="atLeast"/>
      <w:jc w:val="left"/>
      <w:textAlignment w:val="baseline"/>
    </w:pPr>
    <w:rPr>
      <w:kern w:val="0"/>
    </w:rPr>
  </w:style>
  <w:style w:type="paragraph" w:customStyle="1" w:styleId="123">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autoRedefine/>
    <w:qFormat/>
    <w:uiPriority w:val="99"/>
    <w:pPr>
      <w:widowControl/>
      <w:spacing w:line="360" w:lineRule="auto"/>
      <w:jc w:val="left"/>
    </w:pPr>
    <w:rPr>
      <w:kern w:val="0"/>
      <w:lang w:eastAsia="en-US"/>
    </w:rPr>
  </w:style>
  <w:style w:type="paragraph" w:customStyle="1" w:styleId="125">
    <w:name w:val="样式2"/>
    <w:basedOn w:val="8"/>
    <w:autoRedefine/>
    <w:qFormat/>
    <w:uiPriority w:val="99"/>
    <w:pPr>
      <w:spacing w:line="413" w:lineRule="auto"/>
    </w:pPr>
  </w:style>
  <w:style w:type="paragraph" w:customStyle="1" w:styleId="126">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autoRedefine/>
    <w:qFormat/>
    <w:uiPriority w:val="99"/>
    <w:pPr>
      <w:jc w:val="center"/>
      <w:textAlignment w:val="center"/>
    </w:pPr>
    <w:rPr>
      <w:rFonts w:ascii="华文细黑" w:hAnsi="华文细黑" w:cs="华文细黑"/>
      <w:kern w:val="0"/>
    </w:rPr>
  </w:style>
  <w:style w:type="paragraph" w:customStyle="1" w:styleId="128">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autoRedefine/>
    <w:qFormat/>
    <w:uiPriority w:val="99"/>
  </w:style>
  <w:style w:type="paragraph" w:customStyle="1" w:styleId="130">
    <w:name w:val="样式1"/>
    <w:basedOn w:val="8"/>
    <w:autoRedefine/>
    <w:qFormat/>
    <w:uiPriority w:val="99"/>
    <w:pPr>
      <w:spacing w:line="413" w:lineRule="auto"/>
    </w:pPr>
  </w:style>
  <w:style w:type="paragraph" w:customStyle="1" w:styleId="131">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8"/>
    <w:autoRedefine/>
    <w:qFormat/>
    <w:uiPriority w:val="99"/>
    <w:pPr>
      <w:spacing w:line="413" w:lineRule="auto"/>
    </w:pPr>
  </w:style>
  <w:style w:type="paragraph" w:customStyle="1" w:styleId="134">
    <w:name w:val="TOC 标题1"/>
    <w:basedOn w:val="6"/>
    <w:next w:val="1"/>
    <w:autoRedefine/>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6"/>
    <w:autoRedefine/>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7"/>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6"/>
    <w:autoRedefine/>
    <w:qFormat/>
    <w:uiPriority w:val="99"/>
    <w:rPr>
      <w:rFonts w:ascii="Tahoma" w:hAnsi="Tahoma" w:cs="Tahoma"/>
      <w:sz w:val="24"/>
      <w:szCs w:val="24"/>
      <w:shd w:val="clear" w:color="auto" w:fill="auto"/>
    </w:rPr>
  </w:style>
  <w:style w:type="paragraph" w:customStyle="1" w:styleId="138">
    <w:name w:val="列出段落1"/>
    <w:basedOn w:val="1"/>
    <w:autoRedefine/>
    <w:qFormat/>
    <w:uiPriority w:val="99"/>
    <w:pPr>
      <w:ind w:firstLine="420" w:firstLineChars="200"/>
    </w:pPr>
    <w:rPr>
      <w:rFonts w:ascii="Calibri" w:hAnsi="Calibri" w:cs="Calibri"/>
    </w:rPr>
  </w:style>
  <w:style w:type="paragraph" w:customStyle="1" w:styleId="139">
    <w:name w:val="Char1"/>
    <w:basedOn w:val="1"/>
    <w:autoRedefine/>
    <w:qFormat/>
    <w:uiPriority w:val="99"/>
    <w:rPr>
      <w:rFonts w:ascii="Tahoma" w:hAnsi="Tahoma" w:cs="Tahoma"/>
      <w:sz w:val="24"/>
      <w:szCs w:val="24"/>
    </w:rPr>
  </w:style>
  <w:style w:type="paragraph" w:customStyle="1" w:styleId="140">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8"/>
    <w:autoRedefine/>
    <w:qFormat/>
    <w:uiPriority w:val="99"/>
    <w:pPr>
      <w:spacing w:line="413" w:lineRule="auto"/>
    </w:pPr>
  </w:style>
  <w:style w:type="paragraph" w:customStyle="1" w:styleId="142">
    <w:name w:val="正文1"/>
    <w:autoRedefine/>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3">
    <w:name w:val="列出段落2"/>
    <w:basedOn w:val="1"/>
    <w:autoRedefine/>
    <w:qFormat/>
    <w:uiPriority w:val="99"/>
    <w:pPr>
      <w:ind w:firstLine="200" w:firstLineChars="200"/>
    </w:pPr>
  </w:style>
  <w:style w:type="paragraph" w:customStyle="1" w:styleId="144">
    <w:name w:val="p0"/>
    <w:basedOn w:val="1"/>
    <w:autoRedefine/>
    <w:qFormat/>
    <w:uiPriority w:val="99"/>
    <w:pPr>
      <w:widowControl/>
    </w:pPr>
    <w:rPr>
      <w:kern w:val="0"/>
    </w:rPr>
  </w:style>
  <w:style w:type="paragraph" w:customStyle="1" w:styleId="145">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autoRedefine/>
    <w:qFormat/>
    <w:uiPriority w:val="99"/>
    <w:rPr>
      <w:rFonts w:ascii="Times New Roman" w:hAnsi="Times New Roman" w:eastAsia="宋体" w:cs="Times New Roman"/>
      <w:lang w:val="en-US" w:eastAsia="zh-CN" w:bidi="ar-SA"/>
    </w:rPr>
  </w:style>
  <w:style w:type="paragraph" w:customStyle="1" w:styleId="147">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48">
    <w:name w:val="WPSOffice手动目录 3"/>
    <w:autoRedefine/>
    <w:qFormat/>
    <w:uiPriority w:val="99"/>
    <w:pPr>
      <w:ind w:left="400" w:leftChars="400"/>
    </w:pPr>
    <w:rPr>
      <w:rFonts w:ascii="Times New Roman" w:hAnsi="Times New Roman" w:eastAsia="宋体" w:cs="Times New Roman"/>
      <w:lang w:val="en-US" w:eastAsia="zh-CN" w:bidi="ar-SA"/>
    </w:rPr>
  </w:style>
  <w:style w:type="character" w:customStyle="1" w:styleId="149">
    <w:name w:val="c-icon26"/>
    <w:basedOn w:val="47"/>
    <w:autoRedefine/>
    <w:qFormat/>
    <w:uiPriority w:val="0"/>
  </w:style>
  <w:style w:type="character" w:customStyle="1" w:styleId="150">
    <w:name w:val="hover28"/>
    <w:basedOn w:val="47"/>
    <w:autoRedefine/>
    <w:qFormat/>
    <w:uiPriority w:val="0"/>
  </w:style>
  <w:style w:type="character" w:customStyle="1" w:styleId="151">
    <w:name w:val="hover29"/>
    <w:basedOn w:val="47"/>
    <w:autoRedefine/>
    <w:qFormat/>
    <w:uiPriority w:val="0"/>
    <w:rPr>
      <w:color w:val="315EFB"/>
    </w:rPr>
  </w:style>
  <w:style w:type="character" w:customStyle="1" w:styleId="152">
    <w:name w:val="hover30"/>
    <w:basedOn w:val="47"/>
    <w:autoRedefine/>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18605</Words>
  <Characters>19602</Characters>
  <Lines>1</Lines>
  <Paragraphs>1</Paragraphs>
  <TotalTime>10</TotalTime>
  <ScaleCrop>false</ScaleCrop>
  <LinksUpToDate>false</LinksUpToDate>
  <CharactersWithSpaces>23977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请输入姓名君</cp:lastModifiedBy>
  <cp:lastPrinted>2023-03-21T07:56:00Z</cp:lastPrinted>
  <dcterms:modified xsi:type="dcterms:W3CDTF">2024-08-27T08:39:11Z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798D0C231FBA4D34AA68AAFA09D39789_13</vt:lpwstr>
  </property>
</Properties>
</file>