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kern w:val="0"/>
          <w:sz w:val="44"/>
          <w:szCs w:val="44"/>
          <w:highlight w:val="none"/>
        </w:rPr>
      </w:pPr>
      <w:bookmarkStart w:id="0" w:name="_Toc324404811"/>
      <w:bookmarkStart w:id="1" w:name="_Toc506107265"/>
      <w:bookmarkStart w:id="2" w:name="_Toc15058843"/>
      <w:bookmarkStart w:id="3" w:name="_Toc247085669"/>
      <w:bookmarkStart w:id="4" w:name="_Toc246996898"/>
      <w:bookmarkStart w:id="5" w:name="_Toc296602400"/>
      <w:bookmarkStart w:id="6" w:name="_Toc461631222"/>
      <w:bookmarkStart w:id="7" w:name="OLE_LINK3"/>
      <w:bookmarkStart w:id="8" w:name="OLE_LINK2"/>
      <w:bookmarkStart w:id="9" w:name="OLE_LINK4"/>
      <w:bookmarkStart w:id="10" w:name="OLE_LINK1"/>
      <w:bookmarkStart w:id="11" w:name="OLE_LINK5"/>
    </w:p>
    <w:p>
      <w:pPr>
        <w:pStyle w:val="14"/>
        <w:ind w:firstLine="420"/>
        <w:rPr>
          <w:color w:val="auto"/>
          <w:highlight w:val="none"/>
        </w:rPr>
      </w:pPr>
    </w:p>
    <w:p>
      <w:pPr>
        <w:jc w:val="center"/>
        <w:rPr>
          <w:rFonts w:ascii="宋体" w:hAnsi="宋体"/>
          <w:color w:val="auto"/>
          <w:sz w:val="96"/>
          <w:szCs w:val="96"/>
          <w:highlight w:val="none"/>
        </w:rPr>
      </w:pPr>
      <w:r>
        <w:rPr>
          <w:rFonts w:hint="eastAsia" w:hAnsi="宋体" w:cs="宋体"/>
          <w:b/>
          <w:color w:val="auto"/>
          <w:kern w:val="0"/>
          <w:sz w:val="40"/>
          <w:szCs w:val="40"/>
          <w:highlight w:val="none"/>
          <w:lang w:eastAsia="zh-CN"/>
        </w:rPr>
        <w:t>巢东矿业环山路延伸及道</w:t>
      </w:r>
      <w:bookmarkStart w:id="1016" w:name="_GoBack"/>
      <w:bookmarkEnd w:id="1016"/>
      <w:r>
        <w:rPr>
          <w:rFonts w:hint="eastAsia" w:hAnsi="宋体" w:cs="宋体"/>
          <w:b/>
          <w:color w:val="auto"/>
          <w:kern w:val="0"/>
          <w:sz w:val="40"/>
          <w:szCs w:val="40"/>
          <w:highlight w:val="none"/>
          <w:lang w:eastAsia="zh-CN"/>
        </w:rPr>
        <w:t>路附属工程施工项目</w:t>
      </w:r>
    </w:p>
    <w:p>
      <w:pPr>
        <w:pStyle w:val="14"/>
        <w:rPr>
          <w:color w:val="auto"/>
          <w:highlight w:val="none"/>
        </w:rPr>
      </w:pPr>
    </w:p>
    <w:p>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pPr>
        <w:spacing w:line="400" w:lineRule="exact"/>
        <w:jc w:val="center"/>
        <w:rPr>
          <w:rFonts w:ascii="宋体" w:hAnsi="宋体"/>
          <w:b/>
          <w:color w:val="auto"/>
          <w:sz w:val="39"/>
          <w:highlight w:val="none"/>
        </w:rPr>
      </w:pPr>
    </w:p>
    <w:p>
      <w:pPr>
        <w:spacing w:line="400" w:lineRule="exact"/>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spacing w:line="720" w:lineRule="exact"/>
        <w:rPr>
          <w:b/>
          <w:bCs/>
          <w:color w:val="auto"/>
          <w:sz w:val="28"/>
          <w:szCs w:val="28"/>
          <w:highlight w:val="none"/>
        </w:rPr>
      </w:pPr>
    </w:p>
    <w:p>
      <w:pPr>
        <w:spacing w:before="156" w:beforeLines="50" w:after="156" w:afterLines="50" w:line="700" w:lineRule="exact"/>
        <w:jc w:val="center"/>
        <w:outlineLvl w:val="0"/>
        <w:rPr>
          <w:rFonts w:hint="eastAsia" w:ascii="宋体"/>
          <w:b/>
          <w:color w:val="auto"/>
          <w:sz w:val="32"/>
          <w:szCs w:val="32"/>
          <w:highlight w:val="none"/>
        </w:rPr>
      </w:pPr>
      <w:bookmarkStart w:id="12" w:name="_Toc25057"/>
      <w:bookmarkStart w:id="13" w:name="_Toc32059"/>
      <w:r>
        <w:rPr>
          <w:rFonts w:hint="eastAsia" w:ascii="宋体"/>
          <w:b/>
          <w:color w:val="auto"/>
          <w:sz w:val="32"/>
          <w:szCs w:val="32"/>
          <w:highlight w:val="none"/>
        </w:rPr>
        <w:t>招 标 人：</w:t>
      </w:r>
      <w:r>
        <w:rPr>
          <w:rFonts w:hint="eastAsia" w:ascii="宋体"/>
          <w:b/>
          <w:color w:val="auto"/>
          <w:sz w:val="32"/>
          <w:szCs w:val="32"/>
          <w:highlight w:val="none"/>
          <w:u w:val="single"/>
          <w:lang w:eastAsia="zh-CN"/>
        </w:rPr>
        <w:t>安徽巢东矿业高新材料有限责任公司</w:t>
      </w:r>
      <w:r>
        <w:rPr>
          <w:rFonts w:hint="eastAsia" w:ascii="宋体"/>
          <w:b/>
          <w:color w:val="auto"/>
          <w:sz w:val="32"/>
          <w:szCs w:val="32"/>
          <w:highlight w:val="none"/>
        </w:rPr>
        <w:t>（盖单位章）</w:t>
      </w:r>
      <w:bookmarkEnd w:id="12"/>
      <w:bookmarkEnd w:id="13"/>
    </w:p>
    <w:p>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23 </w:t>
      </w:r>
      <w:r>
        <w:rPr>
          <w:rFonts w:hint="eastAsia" w:ascii="宋体"/>
          <w:b/>
          <w:color w:val="auto"/>
          <w:sz w:val="32"/>
          <w:szCs w:val="32"/>
          <w:highlight w:val="none"/>
        </w:rPr>
        <w:t>日</w:t>
      </w:r>
    </w:p>
    <w:p>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pPr>
        <w:spacing w:line="700" w:lineRule="exact"/>
        <w:jc w:val="center"/>
        <w:rPr>
          <w:rFonts w:hint="eastAsia"/>
          <w:color w:val="auto"/>
          <w:sz w:val="44"/>
          <w:szCs w:val="44"/>
          <w:highlight w:val="none"/>
        </w:rPr>
      </w:pPr>
    </w:p>
    <w:p>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52042287"/>
      <w:bookmarkStart w:id="15" w:name="_Toc179632527"/>
      <w:bookmarkStart w:id="16" w:name="_Toc144974479"/>
      <w:bookmarkStart w:id="17" w:name="_Toc152045511"/>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第四章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工程量清单</w:t>
      </w:r>
      <w:r>
        <w:rPr>
          <w:rFonts w:hint="eastAsia" w:ascii="宋体" w:hAnsi="宋体" w:cs="宋体"/>
          <w:b w:val="0"/>
          <w:bCs w:val="0"/>
          <w:caps w:val="0"/>
          <w:color w:val="auto"/>
          <w:sz w:val="24"/>
          <w:szCs w:val="24"/>
          <w:highlight w:val="none"/>
          <w:lang w:val="en-US" w:eastAsia="zh-CN"/>
        </w:rPr>
        <w:t>.............................................66</w:t>
      </w:r>
    </w:p>
    <w:p>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图纸</w:t>
      </w:r>
      <w:r>
        <w:rPr>
          <w:rFonts w:hint="eastAsia" w:ascii="宋体" w:hAnsi="宋体" w:cs="宋体"/>
          <w:b w:val="0"/>
          <w:bCs w:val="0"/>
          <w:caps w:val="0"/>
          <w:color w:val="auto"/>
          <w:sz w:val="24"/>
          <w:szCs w:val="24"/>
          <w:highlight w:val="none"/>
          <w:lang w:val="en-US" w:eastAsia="zh-CN"/>
        </w:rPr>
        <w:t>...................................................69</w:t>
      </w:r>
    </w:p>
    <w:p>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第七章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...........................................70</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第八章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...............79</w:t>
      </w:r>
    </w:p>
    <w:p>
      <w:pPr>
        <w:pStyle w:val="14"/>
        <w:spacing w:line="700" w:lineRule="exact"/>
        <w:ind w:left="0" w:leftChars="0" w:firstLine="480"/>
        <w:jc w:val="left"/>
        <w:rPr>
          <w:color w:val="auto"/>
          <w:sz w:val="24"/>
          <w:szCs w:val="24"/>
          <w:highlight w:val="none"/>
        </w:rPr>
      </w:pPr>
    </w:p>
    <w:p>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247085687"/>
      <w:bookmarkStart w:id="20" w:name="_Toc35425050"/>
      <w:bookmarkStart w:id="21" w:name="_Toc152042303"/>
      <w:bookmarkStart w:id="22" w:name="_Toc152045527"/>
      <w:bookmarkStart w:id="23" w:name="_Toc506107267"/>
      <w:bookmarkStart w:id="24" w:name="_Toc15058844"/>
      <w:bookmarkStart w:id="25" w:name="_Toc246996916"/>
      <w:bookmarkStart w:id="26" w:name="_Toc144974495"/>
      <w:bookmarkStart w:id="27" w:name="_Toc324404813"/>
      <w:bookmarkStart w:id="28" w:name="_Toc246996173"/>
      <w:bookmarkStart w:id="29" w:name="_Toc35424883"/>
      <w:bookmarkStart w:id="30" w:name="_Toc179632544"/>
      <w:r>
        <w:rPr>
          <w:rFonts w:hint="eastAsia"/>
          <w:bCs/>
          <w:color w:val="auto"/>
          <w:szCs w:val="32"/>
          <w:highlight w:val="none"/>
          <w:lang w:eastAsia="zh-CN"/>
        </w:rPr>
        <w:t>巢东矿业环山路延伸及道路附属工程施工项目</w:t>
      </w:r>
      <w:r>
        <w:rPr>
          <w:rFonts w:hint="eastAsia"/>
          <w:bCs/>
          <w:color w:val="auto"/>
          <w:szCs w:val="32"/>
          <w:highlight w:val="none"/>
        </w:rPr>
        <w:t>招标</w:t>
      </w:r>
      <w:r>
        <w:rPr>
          <w:rFonts w:hint="eastAsia"/>
          <w:bCs/>
          <w:color w:val="auto"/>
          <w:szCs w:val="32"/>
          <w:highlight w:val="none"/>
        </w:rPr>
        <w:t>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巢东矿业环山路延伸及道路附属工程施工项目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安徽巢东矿业高新材料有限责任公司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安徽巢东矿业高新材料有限责任公司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巢东矿业环山路延伸及道路附属工程施工项目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宋体" w:hAnsi="宋体" w:eastAsia="宋体" w:cs="宋体"/>
                <w:color w:val="auto"/>
                <w:szCs w:val="21"/>
                <w:highlight w:val="none"/>
                <w:lang w:val="en-US"/>
              </w:rPr>
            </w:pPr>
            <w:r>
              <w:rPr>
                <w:rFonts w:hint="eastAsia" w:hAnsi="宋体" w:cs="宋体"/>
                <w:color w:val="auto"/>
                <w:szCs w:val="21"/>
                <w:highlight w:val="none"/>
                <w:lang w:val="en-US" w:eastAsia="zh-CN"/>
              </w:rPr>
              <w:t>明光市涧溪镇姚郭村村委会向东约2KM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eastAsia="zh-CN"/>
              </w:rPr>
              <w:t>巢东矿业环山路延伸及道路附属工程</w:t>
            </w:r>
            <w:r>
              <w:rPr>
                <w:rFonts w:hint="eastAsia" w:hAnsi="宋体" w:cs="宋体"/>
                <w:color w:val="auto"/>
                <w:szCs w:val="21"/>
                <w:highlight w:val="none"/>
                <w:lang w:val="en-US" w:eastAsia="zh-CN"/>
              </w:rPr>
              <w:t>施工，含巢东矿业原环山路道路延伸施工以</w:t>
            </w:r>
            <w:r>
              <w:rPr>
                <w:rFonts w:hint="eastAsia" w:ascii="宋体" w:hAnsi="宋体" w:cs="宋体"/>
                <w:color w:val="auto"/>
                <w:szCs w:val="21"/>
                <w:highlight w:val="none"/>
                <w:lang w:val="en-US" w:eastAsia="zh-CN"/>
              </w:rPr>
              <w:t>及</w:t>
            </w:r>
            <w:r>
              <w:rPr>
                <w:rFonts w:hint="eastAsia" w:hAnsi="宋体" w:cs="宋体"/>
                <w:color w:val="auto"/>
                <w:szCs w:val="21"/>
                <w:highlight w:val="none"/>
                <w:lang w:val="en-US" w:eastAsia="zh-CN"/>
              </w:rPr>
              <w:t>配套</w:t>
            </w:r>
            <w:r>
              <w:rPr>
                <w:rFonts w:hint="eastAsia" w:ascii="宋体" w:hAnsi="宋体" w:cs="宋体"/>
                <w:color w:val="auto"/>
                <w:szCs w:val="21"/>
                <w:highlight w:val="none"/>
                <w:lang w:val="en-US" w:eastAsia="zh-CN"/>
              </w:rPr>
              <w:t>地磅及洗车机采购及相关服务，工程造价</w:t>
            </w:r>
            <w:r>
              <w:rPr>
                <w:rFonts w:hint="eastAsia" w:hAnsi="宋体" w:cs="宋体"/>
                <w:color w:val="auto"/>
                <w:szCs w:val="21"/>
                <w:highlight w:val="none"/>
                <w:u w:val="single"/>
                <w:lang w:val="en-US" w:eastAsia="zh-CN"/>
              </w:rPr>
              <w:t>987805.36</w:t>
            </w:r>
            <w:r>
              <w:rPr>
                <w:rFonts w:hint="eastAsia" w:ascii="宋体" w:hAnsi="宋体" w:cs="宋体"/>
                <w:color w:val="auto"/>
                <w:szCs w:val="21"/>
                <w:highlight w:val="none"/>
                <w:lang w:val="en-US" w:eastAsia="zh-CN"/>
              </w:rPr>
              <w:t>元，具体详见</w:t>
            </w:r>
            <w:r>
              <w:rPr>
                <w:rFonts w:hint="eastAsia" w:hAnsi="宋体" w:cs="宋体"/>
                <w:color w:val="auto"/>
                <w:szCs w:val="21"/>
                <w:highlight w:val="none"/>
                <w:lang w:val="en-US" w:eastAsia="zh-CN"/>
              </w:rPr>
              <w:t>设计示意图、</w:t>
            </w:r>
            <w:r>
              <w:rPr>
                <w:rFonts w:hint="eastAsia" w:ascii="宋体" w:hAnsi="宋体" w:cs="宋体"/>
                <w:color w:val="auto"/>
                <w:szCs w:val="21"/>
                <w:highlight w:val="none"/>
                <w:lang w:val="en-US" w:eastAsia="zh-CN"/>
              </w:rPr>
              <w:t>施工图纸和工程量清单内容。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987805.36</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不高于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，其中合同签订后</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个日历天内</w:t>
            </w:r>
            <w:r>
              <w:rPr>
                <w:rFonts w:hint="eastAsia" w:ascii="宋体" w:hAnsi="宋体" w:eastAsia="宋体" w:cs="宋体"/>
                <w:color w:val="auto"/>
                <w:szCs w:val="21"/>
                <w:highlight w:val="none"/>
                <w:lang w:val="en-US" w:eastAsia="zh-CN"/>
              </w:rPr>
              <w:t>完成道路建设；通知洗车机及地磅进场后</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en-US" w:eastAsia="zh-CN"/>
              </w:rPr>
              <w:t>日内完成配送及相关安装服务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投标人须知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请潜在投标人仔细阅读</w:t>
            </w:r>
            <w:r>
              <w:rPr>
                <w:rFonts w:hint="eastAsia" w:ascii="宋体" w:hAnsi="宋体" w:cs="宋体"/>
                <w:color w:val="auto"/>
                <w:kern w:val="0"/>
                <w:sz w:val="21"/>
                <w:szCs w:val="21"/>
                <w:highlight w:val="none"/>
                <w:lang w:eastAsia="zh-CN"/>
              </w:rPr>
              <w:t>）</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本工程施工图纸和工程量清单中的所有内容，包括：1.巢东矿业原环山路K0+720预留约50米路基已水稳硬化，路宽8米；安装SCS-200型电子汽车衡及称重系统（详见工程量清单及地磅施工图，地磅长度为18米包含在预留的50米内）地磅出入口剩余部分需铺设C30混凝土，厚240mm（混凝土弯拉强度不小于5.0MPa）；2.巢东矿业原环山路起点向矿山内延伸约45米至巢东矿业已修建的三级沉淀池处，该段道路包含挖填方水稳基础路面等全部道路施工内容（详见工程量清单及道路施工图），此处安装全自动型洗车台，包含基础、水电、护栏等（详见工程量清单及洗车机施工图），在洗车机入口处道路向矿山区内延伸约10米作为洗车机引导路段。3.巢东矿业原3.83km环山路需要增设两侧安全护栏安装（巢东矿业有库存护栏及立柱，库存护栏为原3.83km环山路拆除下来的护栏，部分护栏拆除时已损坏），施工单位需优先使用库存护栏立柱安装，库存不足需采购安装原标准的新护栏立柱，安装新旧护栏立柱单价以中标价为准，工程量最终根据审计结果据实结算。4.本项目施工地理位置较偏，运输条件较简陋，货物材料等运输费用投标人自行考量</w:t>
            </w:r>
            <w:r>
              <w:rPr>
                <w:rFonts w:hint="eastAsia" w:hAnsi="宋体" w:cs="宋体"/>
                <w:color w:val="auto"/>
                <w:kern w:val="2"/>
                <w:sz w:val="21"/>
                <w:szCs w:val="21"/>
                <w:highlight w:val="none"/>
                <w:lang w:val="en-US" w:eastAsia="zh-CN" w:bidi="ar-SA"/>
              </w:rPr>
              <w:t>，均包含在投标价中</w:t>
            </w: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5.本项目招标方仅提供水电至单位保安亭处（距施工地点最近距离约600m）。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投标人须具有建设行政主管部门颁发的</w:t>
            </w:r>
            <w:r>
              <w:rPr>
                <w:rFonts w:hint="eastAsia" w:ascii="宋体" w:hAnsi="宋体" w:eastAsia="宋体" w:cs="宋体"/>
                <w:color w:val="auto"/>
                <w:sz w:val="21"/>
                <w:szCs w:val="21"/>
                <w:highlight w:val="none"/>
                <w:lang w:val="zh-CN"/>
              </w:rPr>
              <w:t>公路工程施工总承包</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rPr>
              <w:t>级及以上资质</w:t>
            </w:r>
            <w:r>
              <w:rPr>
                <w:rFonts w:hint="eastAsia" w:ascii="宋体" w:hAnsi="宋体" w:cs="宋体"/>
                <w:color w:val="auto"/>
                <w:szCs w:val="21"/>
                <w:highlight w:val="none"/>
              </w:rPr>
              <w:t>的企业</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pPr>
              <w:keepNext w:val="0"/>
              <w:keepLines w:val="0"/>
              <w:pageBreakBefore w:val="0"/>
              <w:widowControl/>
              <w:kinsoku w:val="0"/>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拟派的项目经理</w:t>
            </w:r>
            <w:r>
              <w:rPr>
                <w:rFonts w:hint="eastAsia" w:ascii="宋体" w:hAnsi="宋体" w:eastAsia="宋体" w:cs="Times New Roman"/>
                <w:color w:val="auto"/>
                <w:szCs w:val="21"/>
                <w:highlight w:val="none"/>
                <w:lang w:val="en-US" w:eastAsia="zh-CN"/>
              </w:rPr>
              <w:t>具</w:t>
            </w:r>
            <w:r>
              <w:rPr>
                <w:rFonts w:hint="eastAsia" w:ascii="宋体" w:hAnsi="宋体"/>
                <w:color w:val="auto"/>
                <w:szCs w:val="21"/>
                <w:highlight w:val="none"/>
                <w:lang w:val="en-US" w:eastAsia="zh-CN"/>
              </w:rPr>
              <w:t>备</w:t>
            </w:r>
            <w:r>
              <w:rPr>
                <w:rFonts w:hint="eastAsia" w:ascii="宋体" w:hAnsi="宋体" w:eastAsia="宋体" w:cs="宋体"/>
                <w:color w:val="auto"/>
                <w:sz w:val="21"/>
                <w:szCs w:val="21"/>
                <w:highlight w:val="none"/>
                <w:lang w:val="en-US" w:eastAsia="zh-CN"/>
              </w:rPr>
              <w:t>注册在投标单位的公路工程专业二级及以上注册建造师资格，具备有效的安全生产考核合格(B类)证书。本项目不接受投标截止时间前六个月内在滁州市区域内办理过项目经理（建造师）变更备案手续的原项目经理（建造师）作为拟任项目经理（建造师）参加投标</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②投标人或其法定代表人或拟派项目负责人（总监理工程师）前三年有行贿犯罪行为的；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23</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29</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9</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4月29日9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4月29日9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□不要求。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☑要求，投标保证金的</w:t>
            </w:r>
            <w:r>
              <w:rPr>
                <w:rFonts w:hint="eastAsia" w:ascii="宋体" w:hAnsi="宋体" w:cs="宋体"/>
                <w:color w:val="auto"/>
                <w:szCs w:val="21"/>
                <w:highlight w:val="none"/>
              </w:rPr>
              <w:t>金额：</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万元。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户  名：</w:t>
            </w:r>
            <w:r>
              <w:rPr>
                <w:rFonts w:hint="eastAsia" w:ascii="宋体" w:hAnsi="宋体" w:cs="宋体"/>
                <w:color w:val="auto"/>
                <w:szCs w:val="21"/>
                <w:highlight w:val="none"/>
                <w:lang w:val="en-US" w:eastAsia="zh-CN"/>
              </w:rPr>
              <w:t>滁州市城投工程咨询管理有限公司</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lang w:val="en-US" w:eastAsia="zh-CN"/>
              </w:rPr>
              <w:t>中国银行滁州分行营业部</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账  号：184256514737</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ascii="宋体" w:hAnsi="宋体" w:cs="宋体"/>
                <w:bCs/>
                <w:color w:val="auto"/>
                <w:kern w:val="1"/>
                <w:sz w:val="21"/>
                <w:szCs w:val="21"/>
                <w:highlight w:val="none"/>
                <w:lang w:eastAsia="zh-CN"/>
              </w:rPr>
              <w:t>巢东矿业环山路延伸及道路附属工程施工项目</w:t>
            </w:r>
            <w:r>
              <w:rPr>
                <w:rFonts w:hint="eastAsia" w:ascii="宋体" w:hAnsi="宋体" w:cs="宋体"/>
                <w:color w:val="auto"/>
                <w:szCs w:val="21"/>
                <w:highlight w:val="none"/>
              </w:rPr>
              <w:t xml:space="preserve">”投标保证金。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注：各投标人请严格按照招标公告和招标文件载明的银行、账户汇入投标保证金，否则在开标时将无法查询保证金是否到账，导致评标委员会否决其投标！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snapToGrid/>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施工场地及周边场地、道路、绿化等，若被施工方损坏，施工方必须无偿按照原貌恢复。</w:t>
            </w:r>
          </w:p>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自行勘察施工现场情况，因</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未勘察现场而造成的损失由</w:t>
            </w:r>
            <w:r>
              <w:rPr>
                <w:rFonts w:hint="eastAsia" w:ascii="宋体" w:hAnsi="宋体" w:eastAsia="宋体" w:cs="宋体"/>
                <w:color w:val="auto"/>
                <w:szCs w:val="21"/>
                <w:highlight w:val="none"/>
                <w:lang w:val="en-US" w:eastAsia="zh-CN"/>
              </w:rPr>
              <w:t>投标人自行</w:t>
            </w:r>
            <w:r>
              <w:rPr>
                <w:rFonts w:hint="eastAsia" w:ascii="宋体" w:hAnsi="宋体" w:eastAsia="宋体" w:cs="宋体"/>
                <w:color w:val="auto"/>
                <w:szCs w:val="21"/>
                <w:highlight w:val="none"/>
              </w:rPr>
              <w:t>承担。</w:t>
            </w:r>
          </w:p>
          <w:p>
            <w:pPr>
              <w:keepNext w:val="0"/>
              <w:keepLines w:val="0"/>
              <w:pageBreakBefore w:val="0"/>
              <w:numPr>
                <w:ilvl w:val="0"/>
                <w:numId w:val="1"/>
              </w:numPr>
              <w:kinsoku/>
              <w:overflowPunct/>
              <w:topLinePunct w:val="0"/>
              <w:autoSpaceDE/>
              <w:autoSpaceDN/>
              <w:bidi w:val="0"/>
              <w:snapToGrid/>
              <w:spacing w:line="40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中标人在合同履行期内与各方</w:t>
            </w:r>
            <w:r>
              <w:rPr>
                <w:rFonts w:hint="eastAsia" w:ascii="宋体" w:hAnsi="宋体" w:eastAsia="宋体" w:cs="宋体"/>
                <w:color w:val="auto"/>
                <w:szCs w:val="21"/>
                <w:highlight w:val="none"/>
              </w:rPr>
              <w:t>发生</w:t>
            </w:r>
            <w:r>
              <w:rPr>
                <w:rFonts w:hint="eastAsia" w:ascii="宋体" w:hAnsi="宋体" w:eastAsia="宋体" w:cs="宋体"/>
                <w:color w:val="auto"/>
                <w:szCs w:val="21"/>
                <w:highlight w:val="none"/>
                <w:lang w:val="en-US" w:eastAsia="zh-CN"/>
              </w:rPr>
              <w:t>各种</w:t>
            </w:r>
            <w:r>
              <w:rPr>
                <w:rFonts w:hint="eastAsia" w:ascii="宋体" w:hAnsi="宋体" w:eastAsia="宋体" w:cs="宋体"/>
                <w:color w:val="auto"/>
                <w:szCs w:val="21"/>
                <w:highlight w:val="none"/>
              </w:rPr>
              <w:t>矛盾、纠纷时，</w:t>
            </w:r>
            <w:r>
              <w:rPr>
                <w:rFonts w:hint="eastAsia" w:ascii="宋体" w:hAnsi="宋体" w:eastAsia="宋体" w:cs="宋体"/>
                <w:color w:val="auto"/>
                <w:szCs w:val="21"/>
                <w:highlight w:val="none"/>
                <w:lang w:val="en-US" w:eastAsia="zh-CN"/>
              </w:rPr>
              <w:t>由中标人自主解决。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安徽巢东矿业高新材料有限责任公司</w:t>
            </w:r>
            <w:r>
              <w:rPr>
                <w:rFonts w:hint="eastAsia" w:ascii="宋体" w:hAnsi="宋体" w:eastAsia="宋体" w:cs="宋体"/>
                <w:color w:val="auto"/>
                <w:kern w:val="0"/>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明光市涧溪镇319省道66号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许经理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0550-2601587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cs="宋体"/>
                <w:color w:val="auto"/>
                <w:sz w:val="21"/>
                <w:szCs w:val="21"/>
                <w:highlight w:val="none"/>
                <w:lang w:val="en-US" w:eastAsia="zh-CN"/>
              </w:rPr>
              <w:t>620室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毕玉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0550-3519598、15385506369</w:t>
            </w:r>
          </w:p>
        </w:tc>
      </w:tr>
    </w:tbl>
    <w:p>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pPr>
        <w:spacing w:beforeLines="50" w:afterLines="50" w:line="440" w:lineRule="exact"/>
        <w:jc w:val="center"/>
        <w:rPr>
          <w:b/>
          <w:bCs/>
          <w:color w:val="auto"/>
          <w:sz w:val="28"/>
          <w:szCs w:val="28"/>
          <w:highlight w:val="none"/>
        </w:rPr>
      </w:pPr>
      <w:bookmarkStart w:id="32" w:name="_Toc35425051"/>
      <w:bookmarkStart w:id="33" w:name="_Toc35424884"/>
      <w:bookmarkStart w:id="34" w:name="_Toc246996917"/>
      <w:bookmarkStart w:id="35" w:name="_Toc144974496"/>
      <w:bookmarkStart w:id="36" w:name="_Toc324404814"/>
      <w:bookmarkStart w:id="37" w:name="_Toc179632545"/>
      <w:bookmarkStart w:id="38" w:name="_Toc152045528"/>
      <w:bookmarkStart w:id="39" w:name="_Toc246996174"/>
      <w:bookmarkStart w:id="40" w:name="_Toc152042304"/>
      <w:bookmarkStart w:id="41" w:name="_Toc247085688"/>
      <w:bookmarkStart w:id="42" w:name="_Toc506107268"/>
      <w:bookmarkStart w:id="43" w:name="_Toc15058845"/>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247085689"/>
            <w:bookmarkStart w:id="45" w:name="_Toc152042305"/>
            <w:bookmarkStart w:id="46" w:name="_Toc152045529"/>
            <w:bookmarkStart w:id="47" w:name="_Toc144974497"/>
            <w:bookmarkStart w:id="48" w:name="_Toc246996175"/>
            <w:bookmarkStart w:id="49" w:name="_Toc506107269"/>
            <w:bookmarkStart w:id="50" w:name="_Toc179632546"/>
            <w:bookmarkStart w:id="51" w:name="_Toc324404815"/>
            <w:bookmarkStart w:id="52"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color w:val="auto"/>
                <w:szCs w:val="21"/>
                <w:highlight w:val="none"/>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6"/>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20</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日历天；其中合同签订后10个日历天内完成道路建设；通知洗车机及地磅进场后10日内完成配送及相关安装服务。</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25</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pPr>
              <w:keepNext w:val="0"/>
              <w:keepLines w:val="0"/>
              <w:pageBreakBefore w:val="0"/>
              <w:numPr>
                <w:ilvl w:val="0"/>
                <w:numId w:val="2"/>
              </w:numPr>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pPr>
              <w:pStyle w:val="19"/>
              <w:keepNext w:val="0"/>
              <w:keepLines w:val="0"/>
              <w:pageBreakBefore w:val="0"/>
              <w:kinsoku/>
              <w:wordWrap/>
              <w:overflowPunct/>
              <w:topLinePunct/>
              <w:autoSpaceDN/>
              <w:bidi w:val="0"/>
              <w:adjustRightInd w:val="0"/>
              <w:snapToGrid w:val="0"/>
              <w:spacing w:line="440" w:lineRule="exact"/>
              <w:ind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987805.36</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50000</w:t>
            </w:r>
            <w:r>
              <w:rPr>
                <w:rFonts w:hint="eastAsia" w:ascii="宋体" w:hAnsi="宋体" w:cs="宋体"/>
                <w:color w:val="auto"/>
                <w:sz w:val="21"/>
                <w:szCs w:val="21"/>
                <w:highlight w:val="none"/>
              </w:rPr>
              <w:t>元）。应当</w:t>
            </w:r>
            <w:r>
              <w:rPr>
                <w:rFonts w:hint="eastAsia" w:ascii="宋体" w:hAnsi="宋体" w:cs="宋体"/>
                <w:b/>
                <w:bCs/>
                <w:color w:val="auto"/>
                <w:sz w:val="21"/>
                <w:szCs w:val="21"/>
                <w:highlight w:val="none"/>
                <w:u w:val="single"/>
              </w:rPr>
              <w:t>包括总价、各单位工程的分部分项工程费、措施项目费、其他项目费、不可竞争性费用和税金。</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23</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pPr>
              <w:pStyle w:val="14"/>
              <w:keepNext w:val="0"/>
              <w:keepLines w:val="0"/>
              <w:pageBreakBefore w:val="0"/>
              <w:kinsoku/>
              <w:wordWrap/>
              <w:overflowPunct/>
              <w:autoSpaceDN/>
              <w:bidi w:val="0"/>
              <w:spacing w:line="440" w:lineRule="exact"/>
              <w:ind w:left="0" w:leftChars="0" w:firstLine="0" w:firstLineChars="0"/>
              <w:textAlignment w:val="auto"/>
              <w:rPr>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w:t>
            </w:r>
            <w:r>
              <w:rPr>
                <w:rFonts w:hint="eastAsia" w:ascii="宋体" w:hAnsi="宋体" w:cs="宋体"/>
                <w:b/>
                <w:bCs/>
                <w:color w:val="auto"/>
                <w:szCs w:val="21"/>
                <w:highlight w:val="none"/>
              </w:rPr>
              <w:t>间前（202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29</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9</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4</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4月29日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4月29日</w:t>
            </w:r>
            <w:r>
              <w:rPr>
                <w:rStyle w:val="57"/>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rPr>
              <w:t>0分至202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4月29日9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1</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开标时间：202</w:t>
            </w:r>
            <w:r>
              <w:rPr>
                <w:rFonts w:hint="eastAsia" w:ascii="宋体" w:hAnsi="宋体" w:cs="宋体"/>
                <w:color w:val="auto"/>
                <w:kern w:val="2"/>
                <w:sz w:val="21"/>
                <w:szCs w:val="21"/>
                <w:highlight w:val="none"/>
                <w:u w:color="000000"/>
                <w:lang w:val="en-US" w:eastAsia="zh-CN" w:bidi="ar"/>
              </w:rPr>
              <w:t>4</w:t>
            </w:r>
            <w:r>
              <w:rPr>
                <w:rFonts w:hint="eastAsia" w:ascii="宋体" w:hAnsi="宋体" w:eastAsia="宋体" w:cs="宋体"/>
                <w:color w:val="auto"/>
                <w:kern w:val="2"/>
                <w:sz w:val="21"/>
                <w:szCs w:val="21"/>
                <w:highlight w:val="none"/>
                <w:u w:color="000000"/>
                <w:lang w:val="en-US" w:eastAsia="zh-CN" w:bidi="ar"/>
              </w:rPr>
              <w:t>年</w:t>
            </w:r>
            <w:r>
              <w:rPr>
                <w:rFonts w:hint="eastAsia" w:ascii="宋体" w:hAnsi="宋体" w:cs="宋体"/>
                <w:color w:val="auto"/>
                <w:kern w:val="2"/>
                <w:sz w:val="21"/>
                <w:szCs w:val="21"/>
                <w:highlight w:val="none"/>
                <w:u w:color="000000"/>
                <w:lang w:val="en-US" w:eastAsia="zh-CN" w:bidi="ar"/>
              </w:rPr>
              <w:t>4月29日9</w:t>
            </w:r>
            <w:r>
              <w:rPr>
                <w:rFonts w:hint="eastAsia" w:ascii="宋体" w:hAnsi="宋体" w:eastAsia="宋体" w:cs="宋体"/>
                <w:color w:val="auto"/>
                <w:kern w:val="2"/>
                <w:sz w:val="21"/>
                <w:szCs w:val="21"/>
                <w:highlight w:val="none"/>
                <w:u w:color="000000"/>
                <w:lang w:val="en-US" w:eastAsia="zh-CN" w:bidi="ar"/>
              </w:rPr>
              <w:t>时</w:t>
            </w:r>
            <w:r>
              <w:rPr>
                <w:rFonts w:hint="eastAsia" w:ascii="宋体" w:hAnsi="宋体" w:cs="宋体"/>
                <w:color w:val="auto"/>
                <w:kern w:val="2"/>
                <w:sz w:val="21"/>
                <w:szCs w:val="21"/>
                <w:highlight w:val="none"/>
                <w:u w:color="000000"/>
                <w:lang w:val="en-US" w:eastAsia="zh-CN" w:bidi="ar"/>
              </w:rPr>
              <w:t>0</w:t>
            </w:r>
            <w:r>
              <w:rPr>
                <w:rFonts w:hint="eastAsia" w:ascii="宋体" w:hAnsi="宋体" w:eastAsia="宋体" w:cs="宋体"/>
                <w:color w:val="auto"/>
                <w:kern w:val="2"/>
                <w:sz w:val="21"/>
                <w:szCs w:val="21"/>
                <w:highlight w:val="none"/>
                <w:u w:color="000000"/>
                <w:lang w:val="en-US" w:eastAsia="zh-CN" w:bidi="ar"/>
              </w:rPr>
              <w:t>0分（北京时间）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银行转帐或</w:t>
            </w:r>
            <w:r>
              <w:rPr>
                <w:rFonts w:hint="eastAsia" w:ascii="宋体" w:hAnsi="宋体" w:cs="宋体"/>
                <w:bCs/>
                <w:color w:val="auto"/>
                <w:szCs w:val="21"/>
                <w:highlight w:val="none"/>
                <w:lang w:val="zh-CN"/>
              </w:rPr>
              <w:t>银行保函方式【须为见索即付保函（无条件保函）】</w:t>
            </w:r>
            <w:r>
              <w:rPr>
                <w:rFonts w:hint="eastAsia" w:ascii="宋体" w:hAnsi="宋体" w:cs="宋体"/>
                <w:color w:val="auto"/>
                <w:szCs w:val="21"/>
                <w:highlight w:val="none"/>
              </w:rPr>
              <w:t xml:space="preserve"> </w:t>
            </w:r>
          </w:p>
          <w:p>
            <w:pPr>
              <w:keepNext w:val="0"/>
              <w:keepLines w:val="0"/>
              <w:pageBreakBefore w:val="0"/>
              <w:kinsoku/>
              <w:wordWrap/>
              <w:overflowPunct/>
              <w:autoSpaceDE/>
              <w:autoSpaceDN/>
              <w:bidi w:val="0"/>
              <w:spacing w:line="44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color w:val="auto"/>
                <w:szCs w:val="21"/>
                <w:highlight w:val="none"/>
                <w:lang w:val="en-US" w:eastAsia="zh-CN"/>
              </w:rPr>
              <w:t>合同估算价款</w:t>
            </w:r>
            <w:r>
              <w:rPr>
                <w:rFonts w:hint="eastAsia" w:ascii="宋体" w:hAnsi="宋体" w:cs="宋体"/>
                <w:bCs/>
                <w:color w:val="auto"/>
                <w:szCs w:val="21"/>
                <w:highlight w:val="none"/>
              </w:rPr>
              <w:t>×2%</w:t>
            </w:r>
          </w:p>
          <w:p>
            <w:pPr>
              <w:keepNext w:val="0"/>
              <w:keepLines w:val="0"/>
              <w:pageBreakBefore w:val="0"/>
              <w:kinsoku/>
              <w:wordWrap/>
              <w:overflowPunct/>
              <w:autoSpaceDN/>
              <w:bidi w:val="0"/>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pPr>
              <w:keepNext w:val="0"/>
              <w:keepLines w:val="0"/>
              <w:pageBreakBefore w:val="0"/>
              <w:kinsoku/>
              <w:wordWrap/>
              <w:overflowPunct/>
              <w:autoSpaceDN/>
              <w:bidi w:val="0"/>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履约保证金退还时限：履约保证金有效期满7日内（最迟不得超过项目竣工验收通过后28天）</w:t>
            </w:r>
            <w:r>
              <w:rPr>
                <w:rFonts w:hint="eastAsia" w:cs="宋体"/>
                <w:color w:val="auto"/>
                <w:sz w:val="21"/>
                <w:szCs w:val="21"/>
                <w:highlight w:val="none"/>
                <w:lang w:val="en-US" w:eastAsia="zh-CN"/>
              </w:rPr>
              <w:t>。</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cs="宋体"/>
                <w:b w:val="0"/>
                <w:bCs w:val="0"/>
                <w:strike w:val="0"/>
                <w:color w:val="auto"/>
                <w:szCs w:val="21"/>
                <w:highlight w:val="none"/>
                <w:lang w:val="en-US" w:eastAsia="zh-CN"/>
              </w:rPr>
              <w:t>施工完成并通过招标人审核无误，设备调试运行正常后支付合同总价的60%。项目竣工验收并经招标人委托的</w:t>
            </w:r>
            <w:r>
              <w:rPr>
                <w:rFonts w:hint="eastAsia" w:ascii="宋体" w:hAnsi="宋体" w:cs="宋体"/>
                <w:b w:val="0"/>
                <w:bCs w:val="0"/>
                <w:strike w:val="0"/>
                <w:color w:val="auto"/>
                <w:szCs w:val="21"/>
                <w:highlight w:val="none"/>
                <w:lang w:val="en-US" w:eastAsia="zh-CN"/>
              </w:rPr>
              <w:t>跟</w:t>
            </w:r>
            <w:r>
              <w:rPr>
                <w:rFonts w:hint="eastAsia" w:ascii="宋体" w:hAnsi="宋体" w:cs="宋体"/>
                <w:color w:val="auto"/>
                <w:szCs w:val="21"/>
                <w:highlight w:val="none"/>
                <w:lang w:val="en-US" w:eastAsia="zh-CN"/>
              </w:rPr>
              <w:t>踪审计单位</w:t>
            </w:r>
            <w:r>
              <w:rPr>
                <w:rFonts w:hint="eastAsia" w:ascii="宋体" w:hAnsi="宋体" w:cs="宋体"/>
                <w:color w:val="auto"/>
                <w:szCs w:val="21"/>
                <w:highlight w:val="none"/>
              </w:rPr>
              <w:t>出具审定意见书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并由中标人</w:t>
            </w:r>
            <w:r>
              <w:rPr>
                <w:rFonts w:hint="eastAsia" w:ascii="宋体" w:hAnsi="宋体" w:cs="宋体"/>
                <w:color w:val="auto"/>
                <w:szCs w:val="21"/>
                <w:highlight w:val="none"/>
              </w:rPr>
              <w:t>提交合规的发票</w:t>
            </w:r>
            <w:r>
              <w:rPr>
                <w:rFonts w:hint="eastAsia" w:ascii="宋体" w:hAnsi="宋体" w:cs="宋体"/>
                <w:color w:val="auto"/>
                <w:szCs w:val="21"/>
                <w:highlight w:val="none"/>
                <w:lang w:val="en-US" w:eastAsia="zh-CN"/>
              </w:rPr>
              <w:t>后，支付至审定价款的95%，剩余5%作为质量保证金</w:t>
            </w:r>
            <w:r>
              <w:rPr>
                <w:rFonts w:hint="eastAsia" w:ascii="宋体" w:hAnsi="宋体" w:eastAsia="宋体" w:cs="宋体"/>
                <w:color w:val="auto"/>
                <w:szCs w:val="21"/>
                <w:highlight w:val="none"/>
                <w:lang w:val="en-US" w:eastAsia="zh-CN"/>
              </w:rPr>
              <w:t>在工程缺陷责任期（缺陷责任期</w:t>
            </w:r>
            <w:r>
              <w:rPr>
                <w:rFonts w:hint="eastAsia" w:ascii="宋体" w:hAnsi="宋体" w:cs="宋体"/>
                <w:color w:val="auto"/>
                <w:szCs w:val="21"/>
                <w:highlight w:val="none"/>
                <w:lang w:val="en-US" w:eastAsia="zh-CN"/>
              </w:rPr>
              <w:t>2年，</w:t>
            </w:r>
            <w:r>
              <w:rPr>
                <w:rFonts w:hint="eastAsia" w:ascii="宋体" w:hAnsi="宋体" w:eastAsia="宋体" w:cs="宋体"/>
                <w:color w:val="auto"/>
                <w:szCs w:val="21"/>
                <w:highlight w:val="none"/>
                <w:lang w:val="en-US" w:eastAsia="zh-CN"/>
              </w:rPr>
              <w:t>从</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验收合格之日起计算）满后一个月内付清</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（采用工程质量保证担保、工程质量保险等其他保证方式的，</w:t>
            </w:r>
            <w:r>
              <w:rPr>
                <w:rFonts w:hint="eastAsia" w:ascii="宋体" w:hAnsi="宋体" w:cs="宋体"/>
                <w:color w:val="auto"/>
                <w:szCs w:val="21"/>
                <w:highlight w:val="none"/>
                <w:lang w:val="en-US" w:eastAsia="zh-CN"/>
              </w:rPr>
              <w:t>招标人</w:t>
            </w:r>
            <w:r>
              <w:rPr>
                <w:rFonts w:hint="eastAsia" w:ascii="宋体" w:hAnsi="宋体" w:eastAsia="宋体" w:cs="宋体"/>
                <w:color w:val="auto"/>
                <w:szCs w:val="21"/>
                <w:highlight w:val="none"/>
                <w:lang w:val="en-US" w:eastAsia="zh-CN"/>
              </w:rPr>
              <w:t>不再预留质量保证金。）</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4939</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pPr>
        <w:rPr>
          <w:rFonts w:hint="eastAsia" w:ascii="宋体" w:hAnsi="宋体" w:eastAsia="宋体" w:cs="宋体"/>
          <w:color w:val="auto"/>
          <w:sz w:val="24"/>
          <w:szCs w:val="24"/>
          <w:highlight w:val="none"/>
        </w:rPr>
      </w:pPr>
      <w:bookmarkStart w:id="53" w:name="_Toc78803322"/>
      <w:bookmarkStart w:id="54" w:name="_Toc35424887"/>
      <w:bookmarkStart w:id="55" w:name="_Toc35425053"/>
      <w:bookmarkStart w:id="56" w:name="_Toc5813"/>
      <w:bookmarkStart w:id="57" w:name="_Toc15058846"/>
      <w:r>
        <w:rPr>
          <w:rFonts w:hint="eastAsia" w:ascii="宋体" w:hAnsi="宋体" w:eastAsia="宋体" w:cs="宋体"/>
          <w:color w:val="auto"/>
          <w:sz w:val="24"/>
          <w:szCs w:val="24"/>
          <w:highlight w:val="none"/>
        </w:rPr>
        <w:br w:type="page"/>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4678"/>
      <w:bookmarkStart w:id="59" w:name="_Toc506107270"/>
      <w:bookmarkStart w:id="60" w:name="_Toc144974498"/>
      <w:bookmarkStart w:id="61" w:name="_Toc152045530"/>
      <w:bookmarkStart w:id="62" w:name="_Toc152042306"/>
      <w:bookmarkStart w:id="63" w:name="_Toc179632547"/>
      <w:bookmarkStart w:id="64" w:name="_Toc15058847"/>
      <w:bookmarkStart w:id="65" w:name="_Toc35424888"/>
      <w:bookmarkStart w:id="66" w:name="_Toc35425054"/>
      <w:bookmarkStart w:id="67" w:name="_Toc247085690"/>
      <w:bookmarkStart w:id="68" w:name="_Toc78803323"/>
      <w:bookmarkStart w:id="69" w:name="_Toc246996176"/>
      <w:bookmarkStart w:id="70" w:name="_Toc246996919"/>
      <w:bookmarkStart w:id="71" w:name="_Toc296602421"/>
      <w:bookmarkStart w:id="72" w:name="_Toc324404816"/>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152045531"/>
      <w:bookmarkStart w:id="74" w:name="_Toc7142"/>
      <w:bookmarkStart w:id="75" w:name="_Toc144974499"/>
      <w:bookmarkStart w:id="76" w:name="_Toc247085691"/>
      <w:bookmarkStart w:id="77" w:name="_Toc35424889"/>
      <w:bookmarkStart w:id="78" w:name="_Toc35425055"/>
      <w:bookmarkStart w:id="79" w:name="_Toc15058848"/>
      <w:bookmarkStart w:id="80" w:name="_Toc296602422"/>
      <w:bookmarkStart w:id="81" w:name="_Toc324404817"/>
      <w:bookmarkStart w:id="82" w:name="_Toc506107271"/>
      <w:bookmarkStart w:id="83" w:name="_Toc152042307"/>
      <w:bookmarkStart w:id="84" w:name="_Toc246996177"/>
      <w:bookmarkStart w:id="85" w:name="_Toc179632548"/>
      <w:bookmarkStart w:id="86" w:name="_Toc246996920"/>
      <w:bookmarkStart w:id="87" w:name="_Toc78803324"/>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296602423"/>
      <w:bookmarkStart w:id="89" w:name="_Toc179632549"/>
      <w:bookmarkStart w:id="90" w:name="_Toc246996921"/>
      <w:bookmarkStart w:id="91" w:name="_Toc144974500"/>
      <w:bookmarkStart w:id="92" w:name="_Toc15058849"/>
      <w:bookmarkStart w:id="93" w:name="_Toc324404818"/>
      <w:bookmarkStart w:id="94" w:name="_Toc246996178"/>
      <w:bookmarkStart w:id="95" w:name="_Toc247085692"/>
      <w:bookmarkStart w:id="96" w:name="_Toc152042308"/>
      <w:bookmarkStart w:id="97" w:name="_Toc35424890"/>
      <w:bookmarkStart w:id="98" w:name="_Toc78803325"/>
      <w:bookmarkStart w:id="99" w:name="_Toc35425056"/>
      <w:bookmarkStart w:id="100" w:name="_Toc152045532"/>
      <w:bookmarkStart w:id="101" w:name="_Toc506107272"/>
      <w:bookmarkStart w:id="102" w:name="_Toc6330"/>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246996922"/>
      <w:bookmarkStart w:id="104" w:name="_Toc152045534"/>
      <w:bookmarkStart w:id="105" w:name="_Toc247085693"/>
      <w:bookmarkStart w:id="106" w:name="_Toc26897"/>
      <w:bookmarkStart w:id="107" w:name="_Toc506107273"/>
      <w:bookmarkStart w:id="108" w:name="_Toc35425057"/>
      <w:bookmarkStart w:id="109" w:name="_Toc152042310"/>
      <w:bookmarkStart w:id="110" w:name="_Toc324404819"/>
      <w:bookmarkStart w:id="111" w:name="_Toc246996179"/>
      <w:bookmarkStart w:id="112" w:name="_Toc78803326"/>
      <w:bookmarkStart w:id="113" w:name="_Toc296602424"/>
      <w:bookmarkStart w:id="114" w:name="_Toc35424891"/>
      <w:bookmarkStart w:id="115" w:name="_Toc15058850"/>
      <w:bookmarkStart w:id="116" w:name="_Toc144974502"/>
      <w:bookmarkStart w:id="117" w:name="_Toc179632551"/>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78803327"/>
      <w:bookmarkStart w:id="119" w:name="_Toc506107274"/>
      <w:bookmarkStart w:id="120" w:name="_Toc152042311"/>
      <w:bookmarkStart w:id="121" w:name="_Toc35425058"/>
      <w:bookmarkStart w:id="122" w:name="_Toc324404820"/>
      <w:bookmarkStart w:id="123" w:name="_Toc152045535"/>
      <w:bookmarkStart w:id="124" w:name="_Toc246996923"/>
      <w:bookmarkStart w:id="125" w:name="_Toc10179"/>
      <w:bookmarkStart w:id="126" w:name="_Toc35424892"/>
      <w:bookmarkStart w:id="127" w:name="_Toc247085694"/>
      <w:bookmarkStart w:id="128" w:name="_Toc296602425"/>
      <w:bookmarkStart w:id="129" w:name="_Toc179632552"/>
      <w:bookmarkStart w:id="130" w:name="_Toc246996180"/>
      <w:bookmarkStart w:id="131" w:name="_Toc144974503"/>
      <w:bookmarkStart w:id="132" w:name="_Toc15058851"/>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144974504"/>
      <w:bookmarkStart w:id="134" w:name="_Toc324404821"/>
      <w:bookmarkStart w:id="135" w:name="_Toc296602426"/>
      <w:bookmarkStart w:id="136" w:name="_Toc152045536"/>
      <w:bookmarkStart w:id="137" w:name="_Toc35424893"/>
      <w:bookmarkStart w:id="138" w:name="_Toc246996181"/>
      <w:bookmarkStart w:id="139" w:name="_Toc179632553"/>
      <w:bookmarkStart w:id="140" w:name="_Toc78803328"/>
      <w:bookmarkStart w:id="141" w:name="_Toc247085695"/>
      <w:bookmarkStart w:id="142" w:name="_Toc15058852"/>
      <w:bookmarkStart w:id="143" w:name="_Toc4092"/>
      <w:bookmarkStart w:id="144" w:name="_Toc246996924"/>
      <w:bookmarkStart w:id="145" w:name="_Toc35425059"/>
      <w:bookmarkStart w:id="146" w:name="_Toc152042312"/>
      <w:bookmarkStart w:id="147" w:name="_Toc506107275"/>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296602427"/>
      <w:bookmarkStart w:id="150" w:name="_Toc506107276"/>
      <w:bookmarkStart w:id="151" w:name="_Toc179632554"/>
      <w:bookmarkStart w:id="152" w:name="_Toc152045537"/>
      <w:bookmarkStart w:id="153" w:name="_Toc15058853"/>
      <w:bookmarkStart w:id="154" w:name="_Toc35424894"/>
      <w:bookmarkStart w:id="155" w:name="_Toc247085696"/>
      <w:bookmarkStart w:id="156" w:name="_Toc324404822"/>
      <w:bookmarkStart w:id="157" w:name="_Toc4119"/>
      <w:bookmarkStart w:id="158" w:name="_Toc246996925"/>
      <w:bookmarkStart w:id="159" w:name="_Toc78803329"/>
      <w:bookmarkStart w:id="160" w:name="_Toc246996182"/>
      <w:bookmarkStart w:id="161" w:name="_Toc35425060"/>
      <w:bookmarkStart w:id="162" w:name="_Toc152042313"/>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144974506"/>
      <w:bookmarkStart w:id="164" w:name="_Toc179632555"/>
      <w:bookmarkStart w:id="165" w:name="_Toc247085697"/>
      <w:bookmarkStart w:id="166" w:name="_Toc152042314"/>
      <w:bookmarkStart w:id="167" w:name="_Toc246996183"/>
      <w:bookmarkStart w:id="168" w:name="_Toc152045538"/>
      <w:bookmarkStart w:id="169" w:name="_Toc246996926"/>
      <w:r>
        <w:rPr>
          <w:rFonts w:hint="eastAsia" w:ascii="宋体" w:hAnsi="宋体" w:cs="宋体"/>
          <w:color w:val="auto"/>
          <w:szCs w:val="21"/>
          <w:highlight w:val="none"/>
        </w:rPr>
        <w:t>招标投标文件使用的语言文字为中文。专用术语使用外文的，应附有中文注释。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296602428"/>
      <w:bookmarkStart w:id="171" w:name="_Toc35424895"/>
      <w:bookmarkStart w:id="172" w:name="_Toc15058854"/>
      <w:bookmarkStart w:id="173" w:name="_Toc13408"/>
      <w:bookmarkStart w:id="174" w:name="_Toc506107277"/>
      <w:bookmarkStart w:id="175" w:name="_Toc35425061"/>
      <w:bookmarkStart w:id="176" w:name="_Toc78803330"/>
      <w:bookmarkStart w:id="177" w:name="_Toc324404823"/>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5425062"/>
      <w:bookmarkStart w:id="179" w:name="_Toc247527563"/>
      <w:bookmarkStart w:id="180" w:name="_Toc296602429"/>
      <w:bookmarkStart w:id="181" w:name="_Toc78803331"/>
      <w:bookmarkStart w:id="182" w:name="_Toc247513962"/>
      <w:bookmarkStart w:id="183" w:name="_Toc152042315"/>
      <w:bookmarkStart w:id="184" w:name="_Toc144974507"/>
      <w:bookmarkStart w:id="185" w:name="_Toc324404824"/>
      <w:bookmarkStart w:id="186" w:name="_Toc35424896"/>
      <w:bookmarkStart w:id="187" w:name="_Toc506107278"/>
      <w:bookmarkStart w:id="188" w:name="_Toc152045539"/>
      <w:bookmarkStart w:id="189" w:name="_Toc11493"/>
      <w:bookmarkStart w:id="190" w:name="_Toc15058855"/>
      <w:bookmarkStart w:id="191" w:name="_Toc247592876"/>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15058856"/>
      <w:bookmarkStart w:id="193" w:name="_Toc144974508"/>
      <w:bookmarkStart w:id="194" w:name="_Toc247513963"/>
      <w:bookmarkStart w:id="195" w:name="_Toc22954"/>
      <w:bookmarkStart w:id="196" w:name="_Toc296602430"/>
      <w:bookmarkStart w:id="197" w:name="_Toc324404825"/>
      <w:bookmarkStart w:id="198" w:name="_Toc35425063"/>
      <w:bookmarkStart w:id="199" w:name="_Toc78803332"/>
      <w:bookmarkStart w:id="200" w:name="_Toc247592877"/>
      <w:bookmarkStart w:id="201" w:name="_Toc247527564"/>
      <w:bookmarkStart w:id="202" w:name="_Toc152042316"/>
      <w:bookmarkStart w:id="203" w:name="_Toc35424897"/>
      <w:bookmarkStart w:id="204" w:name="_Toc152045540"/>
      <w:bookmarkStart w:id="205" w:name="_Toc506107279"/>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296602431"/>
      <w:bookmarkStart w:id="207" w:name="_Toc506107280"/>
      <w:bookmarkStart w:id="208" w:name="_Toc15058857"/>
      <w:bookmarkStart w:id="209" w:name="_Toc324404826"/>
      <w:bookmarkStart w:id="210" w:name="_Toc60061444"/>
      <w:bookmarkStart w:id="211" w:name="_Toc83301699"/>
      <w:bookmarkStart w:id="212" w:name="_Toc95223347"/>
      <w:bookmarkStart w:id="213" w:name="_Toc246996187"/>
      <w:bookmarkStart w:id="214" w:name="_Toc35424899"/>
      <w:bookmarkStart w:id="215" w:name="_Toc246996930"/>
      <w:bookmarkStart w:id="216" w:name="_Toc179632560"/>
      <w:bookmarkStart w:id="217" w:name="_Toc152045542"/>
      <w:bookmarkStart w:id="218" w:name="_Toc35425065"/>
      <w:bookmarkStart w:id="219" w:name="_Toc78803334"/>
      <w:bookmarkStart w:id="220" w:name="_Toc15058858"/>
      <w:bookmarkStart w:id="221" w:name="_Toc4012"/>
      <w:bookmarkStart w:id="222" w:name="_Toc324404827"/>
      <w:bookmarkStart w:id="223" w:name="_Toc506107281"/>
      <w:bookmarkStart w:id="224" w:name="_Toc144974510"/>
      <w:bookmarkStart w:id="225" w:name="_Toc247085701"/>
      <w:bookmarkStart w:id="226" w:name="_Toc152042318"/>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83301700"/>
      <w:bookmarkStart w:id="228" w:name="_Toc95223348"/>
      <w:bookmarkStart w:id="229" w:name="_Toc60061445"/>
      <w:r>
        <w:rPr>
          <w:rFonts w:hint="eastAsia" w:ascii="宋体" w:hAnsi="宋体" w:eastAsia="宋体" w:cs="宋体"/>
          <w:color w:val="auto"/>
          <w:highlight w:val="none"/>
        </w:rPr>
        <w:t>1.12 偏离</w:t>
      </w:r>
      <w:bookmarkEnd w:id="227"/>
      <w:bookmarkEnd w:id="228"/>
      <w:bookmarkEnd w:id="22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296602433"/>
      <w:bookmarkStart w:id="231" w:name="_Toc13213"/>
      <w:bookmarkStart w:id="232" w:name="_Toc246996931"/>
      <w:bookmarkStart w:id="233" w:name="_Toc15058859"/>
      <w:bookmarkStart w:id="234" w:name="_Toc35425066"/>
      <w:bookmarkStart w:id="235" w:name="_Toc247085702"/>
      <w:bookmarkStart w:id="236" w:name="_Toc246996188"/>
      <w:bookmarkStart w:id="237" w:name="_Toc35424900"/>
      <w:bookmarkStart w:id="238" w:name="_Toc152042319"/>
      <w:bookmarkStart w:id="239" w:name="_Toc324404828"/>
      <w:bookmarkStart w:id="240" w:name="_Toc78803335"/>
      <w:bookmarkStart w:id="241" w:name="_Toc179632561"/>
      <w:bookmarkStart w:id="242" w:name="_Toc506107282"/>
      <w:bookmarkStart w:id="243" w:name="_Toc152045543"/>
      <w:bookmarkStart w:id="244" w:name="_Toc144974511"/>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324404829"/>
      <w:bookmarkStart w:id="246" w:name="_Toc78803336"/>
      <w:bookmarkStart w:id="247" w:name="_Toc246996189"/>
      <w:bookmarkStart w:id="248" w:name="_Toc506107283"/>
      <w:bookmarkStart w:id="249" w:name="_Toc152042320"/>
      <w:bookmarkStart w:id="250" w:name="_Toc247085703"/>
      <w:bookmarkStart w:id="251" w:name="_Toc152045544"/>
      <w:bookmarkStart w:id="252" w:name="_Toc15058860"/>
      <w:bookmarkStart w:id="253" w:name="_Toc296602434"/>
      <w:bookmarkStart w:id="254" w:name="_Toc246996932"/>
      <w:bookmarkStart w:id="255" w:name="_Toc35425067"/>
      <w:bookmarkStart w:id="256" w:name="_Toc35424901"/>
      <w:bookmarkStart w:id="257" w:name="_Toc32239"/>
      <w:bookmarkStart w:id="258" w:name="_Toc144974512"/>
      <w:bookmarkStart w:id="259" w:name="_Toc179632562"/>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35425068"/>
      <w:bookmarkStart w:id="261" w:name="_Toc296602435"/>
      <w:bookmarkStart w:id="262" w:name="_Toc78803337"/>
      <w:bookmarkStart w:id="263" w:name="_Toc152042321"/>
      <w:bookmarkStart w:id="264" w:name="_Toc152045545"/>
      <w:bookmarkStart w:id="265" w:name="_Toc144974513"/>
      <w:bookmarkStart w:id="266" w:name="_Toc246996190"/>
      <w:bookmarkStart w:id="267" w:name="_Toc24633"/>
      <w:bookmarkStart w:id="268" w:name="_Toc506107284"/>
      <w:bookmarkStart w:id="269" w:name="_Toc35424902"/>
      <w:bookmarkStart w:id="270" w:name="_Toc179632563"/>
      <w:bookmarkStart w:id="271" w:name="_Toc247085704"/>
      <w:bookmarkStart w:id="272" w:name="_Toc15058861"/>
      <w:bookmarkStart w:id="273" w:name="_Toc246996933"/>
      <w:bookmarkStart w:id="274" w:name="_Toc324404830"/>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w:t>
      </w:r>
      <w:r>
        <w:rPr>
          <w:rFonts w:hint="eastAsia" w:ascii="宋体" w:hAnsi="宋体" w:cs="宋体"/>
          <w:color w:val="auto"/>
          <w:szCs w:val="21"/>
          <w:highlight w:val="none"/>
        </w:rPr>
        <w:t>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w:t>
      </w:r>
      <w:r>
        <w:rPr>
          <w:rFonts w:hint="eastAsia" w:ascii="宋体" w:hAnsi="宋体" w:cs="宋体"/>
          <w:color w:val="auto"/>
          <w:szCs w:val="21"/>
          <w:highlight w:val="none"/>
        </w:rPr>
        <w:t>。但如果修改内容影响投标文件编制的，将相应延长投标截止时间。</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144974514"/>
      <w:bookmarkStart w:id="276" w:name="_Toc152045546"/>
      <w:bookmarkStart w:id="277" w:name="_Toc246996191"/>
      <w:bookmarkStart w:id="278" w:name="_Toc179632564"/>
      <w:bookmarkStart w:id="279" w:name="_Toc78803339"/>
      <w:bookmarkStart w:id="280" w:name="_Toc506107285"/>
      <w:bookmarkStart w:id="281" w:name="_Toc152042322"/>
      <w:bookmarkStart w:id="282" w:name="_Toc35425070"/>
      <w:bookmarkStart w:id="283" w:name="_Toc6464"/>
      <w:bookmarkStart w:id="284" w:name="_Toc15058863"/>
      <w:bookmarkStart w:id="285" w:name="_Toc35424904"/>
      <w:bookmarkStart w:id="286" w:name="_Toc247085705"/>
      <w:bookmarkStart w:id="287" w:name="_Toc246996934"/>
      <w:bookmarkStart w:id="288" w:name="_Toc324404832"/>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324404833"/>
      <w:bookmarkStart w:id="290" w:name="_Toc15058864"/>
      <w:bookmarkStart w:id="291" w:name="_Toc246996192"/>
      <w:bookmarkStart w:id="292" w:name="_Toc246996935"/>
      <w:bookmarkStart w:id="293" w:name="_Toc247085706"/>
      <w:bookmarkStart w:id="294" w:name="_Toc506107286"/>
      <w:bookmarkStart w:id="295" w:name="_Toc152045547"/>
      <w:bookmarkStart w:id="296" w:name="_Toc157"/>
      <w:bookmarkStart w:id="297" w:name="_Toc78803340"/>
      <w:bookmarkStart w:id="298" w:name="_Toc35425071"/>
      <w:bookmarkStart w:id="299" w:name="_Toc35424905"/>
      <w:bookmarkStart w:id="300" w:name="_Toc144974515"/>
      <w:bookmarkStart w:id="301" w:name="_Toc179632565"/>
      <w:bookmarkStart w:id="302" w:name="_Toc152042323"/>
      <w:bookmarkStart w:id="303" w:name="_Toc296602437"/>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144974516"/>
      <w:bookmarkStart w:id="305" w:name="_Toc6829"/>
      <w:bookmarkStart w:id="306" w:name="_Toc296602438"/>
      <w:bookmarkStart w:id="307" w:name="_Toc247085707"/>
      <w:bookmarkStart w:id="308" w:name="_Toc78803341"/>
      <w:bookmarkStart w:id="309" w:name="_Toc15058865"/>
      <w:bookmarkStart w:id="310" w:name="_Toc152045548"/>
      <w:bookmarkStart w:id="311" w:name="_Toc152042324"/>
      <w:bookmarkStart w:id="312" w:name="_Toc246996193"/>
      <w:bookmarkStart w:id="313" w:name="_Toc246996936"/>
      <w:bookmarkStart w:id="314" w:name="_Toc179632566"/>
      <w:bookmarkStart w:id="315" w:name="_Toc324404834"/>
      <w:bookmarkStart w:id="316" w:name="_Toc35425072"/>
      <w:bookmarkStart w:id="317" w:name="_Toc506107287"/>
      <w:bookmarkStart w:id="318" w:name="_Toc35424906"/>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324404835"/>
      <w:bookmarkStart w:id="320" w:name="_Toc78803342"/>
      <w:bookmarkStart w:id="321" w:name="_Toc296602439"/>
      <w:bookmarkStart w:id="322" w:name="_Toc35424907"/>
      <w:bookmarkStart w:id="323" w:name="_Toc152045549"/>
      <w:bookmarkStart w:id="324" w:name="_Toc247085708"/>
      <w:bookmarkStart w:id="325" w:name="_Toc152042325"/>
      <w:bookmarkStart w:id="326" w:name="_Toc246996937"/>
      <w:bookmarkStart w:id="327" w:name="_Toc15058866"/>
      <w:bookmarkStart w:id="328" w:name="_Toc144974517"/>
      <w:bookmarkStart w:id="329" w:name="_Toc31735"/>
      <w:bookmarkStart w:id="330" w:name="_Toc179632567"/>
      <w:bookmarkStart w:id="331" w:name="_Toc506107288"/>
      <w:bookmarkStart w:id="332" w:name="_Toc246996194"/>
      <w:bookmarkStart w:id="333" w:name="_Toc35425073"/>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4" w:name="_Toc506107289"/>
      <w:bookmarkStart w:id="335" w:name="_Toc35425074"/>
      <w:bookmarkStart w:id="336" w:name="_Toc246996195"/>
      <w:bookmarkStart w:id="337" w:name="_Toc296602440"/>
      <w:bookmarkStart w:id="338" w:name="_Toc152042326"/>
      <w:bookmarkStart w:id="339" w:name="_Toc152045550"/>
      <w:bookmarkStart w:id="340" w:name="_Toc78803343"/>
      <w:bookmarkStart w:id="341" w:name="_Toc179632568"/>
      <w:bookmarkStart w:id="342" w:name="_Toc324404836"/>
      <w:bookmarkStart w:id="343" w:name="_Toc144974518"/>
      <w:bookmarkStart w:id="344" w:name="_Toc10714"/>
      <w:bookmarkStart w:id="345" w:name="_Toc15058867"/>
      <w:bookmarkStart w:id="346" w:name="_Toc247085709"/>
      <w:bookmarkStart w:id="347" w:name="_Toc246996938"/>
      <w:bookmarkStart w:id="348" w:name="_Toc35424908"/>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35425075"/>
      <w:bookmarkStart w:id="350" w:name="_Toc78803344"/>
      <w:bookmarkStart w:id="351" w:name="_Toc506107290"/>
      <w:bookmarkStart w:id="352" w:name="_Toc19037"/>
      <w:bookmarkStart w:id="353" w:name="_Toc296602442"/>
      <w:bookmarkStart w:id="354" w:name="_Toc15058868"/>
      <w:bookmarkStart w:id="355" w:name="_Toc35424909"/>
      <w:bookmarkStart w:id="356" w:name="_Toc324404837"/>
      <w:bookmarkStart w:id="357" w:name="_Toc144974521"/>
      <w:bookmarkStart w:id="358" w:name="_Toc152045553"/>
      <w:bookmarkStart w:id="359" w:name="_Toc247085711"/>
      <w:bookmarkStart w:id="360" w:name="_Toc246996940"/>
      <w:bookmarkStart w:id="361" w:name="_Toc246996197"/>
      <w:bookmarkStart w:id="362" w:name="_Toc179632571"/>
      <w:bookmarkStart w:id="363" w:name="_Toc152042329"/>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246996942"/>
      <w:bookmarkStart w:id="365" w:name="_Toc144974523"/>
      <w:bookmarkStart w:id="366" w:name="_Toc324404838"/>
      <w:bookmarkStart w:id="367" w:name="_Toc152045555"/>
      <w:bookmarkStart w:id="368" w:name="_Toc152042331"/>
      <w:bookmarkStart w:id="369" w:name="_Toc246996199"/>
      <w:bookmarkStart w:id="370" w:name="_Toc247085713"/>
      <w:bookmarkStart w:id="371" w:name="_Toc179632573"/>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15058869"/>
      <w:bookmarkStart w:id="373" w:name="_Toc35424910"/>
      <w:bookmarkStart w:id="374" w:name="_Toc35425076"/>
      <w:bookmarkStart w:id="375" w:name="_Toc19455"/>
      <w:bookmarkStart w:id="376" w:name="_Toc506107291"/>
      <w:bookmarkStart w:id="377" w:name="_Toc78803345"/>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15058870"/>
      <w:bookmarkStart w:id="379" w:name="_Toc35425077"/>
      <w:bookmarkStart w:id="380" w:name="_Toc14473"/>
      <w:bookmarkStart w:id="381" w:name="_Toc35424911"/>
      <w:bookmarkStart w:id="382" w:name="_Toc78803346"/>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4.1.1</w:t>
      </w:r>
      <w:r>
        <w:rPr>
          <w:rFonts w:hint="eastAsia" w:ascii="宋体" w:hAnsi="宋体" w:eastAsia="宋体" w:cs="宋体"/>
          <w:color w:val="auto"/>
          <w:szCs w:val="21"/>
          <w:highlight w:val="none"/>
          <w:lang w:val="en-US" w:eastAsia="zh-CN"/>
        </w:rPr>
        <w:t>各投标人须在投标文件截止时间前（202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lang w:val="en-US" w:eastAsia="zh-CN"/>
        </w:rPr>
        <w:fldChar w:fldCharType="end"/>
      </w:r>
      <w:r>
        <w:rPr>
          <w:rFonts w:hint="eastAsia" w:ascii="宋体" w:hAnsi="宋体" w:cs="宋体"/>
          <w:color w:val="auto"/>
          <w:szCs w:val="21"/>
          <w:highlight w:val="none"/>
          <w:lang w:val="en-US" w:eastAsia="zh-CN"/>
        </w:rPr>
        <w:t>4月29日9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0分前最后收到的投标文件为准,投标文件无法打开的，由投标人自行承担后果。</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4.1.2各投标人在202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4月29日9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0分至202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en-US" w:eastAsia="zh-CN"/>
        </w:rPr>
        <w:t>分内将投标文件的密码（投标单位名称+密码）发送至czsctgczx@163.com（滁州市城投工程咨询管理有限公司邮箱）。未在规定时间内发送密码的，投标将被拒绝。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Cs w:val="21"/>
          <w:highlight w:val="none"/>
          <w:lang w:val="en-US" w:eastAsia="zh-CN"/>
        </w:rPr>
        <w:fldChar w:fldCharType="end"/>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246996202"/>
      <w:bookmarkStart w:id="384" w:name="_Toc15058873"/>
      <w:bookmarkStart w:id="385" w:name="_Toc144974526"/>
      <w:bookmarkStart w:id="386" w:name="_Toc296602446"/>
      <w:bookmarkStart w:id="387" w:name="_Toc152045558"/>
      <w:bookmarkStart w:id="388" w:name="_Toc19572"/>
      <w:bookmarkStart w:id="389" w:name="_Toc179632576"/>
      <w:bookmarkStart w:id="390" w:name="_Toc78803347"/>
      <w:bookmarkStart w:id="391" w:name="_Toc35424914"/>
      <w:bookmarkStart w:id="392" w:name="_Toc324404841"/>
      <w:bookmarkStart w:id="393" w:name="_Toc247085716"/>
      <w:bookmarkStart w:id="394" w:name="_Toc152042334"/>
      <w:bookmarkStart w:id="395" w:name="_Toc246996945"/>
      <w:bookmarkStart w:id="396" w:name="_Toc35425080"/>
      <w:bookmarkStart w:id="397" w:name="_Toc50610729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246996946"/>
      <w:bookmarkStart w:id="399" w:name="_Toc152042335"/>
      <w:bookmarkStart w:id="400" w:name="_Toc35425081"/>
      <w:bookmarkStart w:id="401" w:name="_Toc35424915"/>
      <w:bookmarkStart w:id="402" w:name="_Toc15058874"/>
      <w:bookmarkStart w:id="403" w:name="_Toc179632577"/>
      <w:bookmarkStart w:id="404" w:name="_Toc144974527"/>
      <w:bookmarkStart w:id="405" w:name="_Toc247085717"/>
      <w:bookmarkStart w:id="406" w:name="_Toc78803348"/>
      <w:bookmarkStart w:id="407" w:name="_Toc324404842"/>
      <w:bookmarkStart w:id="408" w:name="_Toc246996203"/>
      <w:bookmarkStart w:id="409" w:name="_Toc506107295"/>
      <w:bookmarkStart w:id="410" w:name="_Toc152045559"/>
      <w:bookmarkStart w:id="411" w:name="_Toc29639"/>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35424916"/>
      <w:bookmarkStart w:id="413" w:name="_Toc324404843"/>
      <w:bookmarkStart w:id="414" w:name="_Toc152042336"/>
      <w:bookmarkStart w:id="415" w:name="_Toc35425082"/>
      <w:bookmarkStart w:id="416" w:name="_Toc296602448"/>
      <w:bookmarkStart w:id="417" w:name="_Toc179632578"/>
      <w:bookmarkStart w:id="418" w:name="_Toc15058875"/>
      <w:bookmarkStart w:id="419" w:name="_Toc506107296"/>
      <w:bookmarkStart w:id="420" w:name="_Toc152045560"/>
      <w:bookmarkStart w:id="421" w:name="_Toc246996947"/>
      <w:bookmarkStart w:id="422" w:name="_Toc78803349"/>
      <w:bookmarkStart w:id="423" w:name="_Toc247085718"/>
      <w:bookmarkStart w:id="424" w:name="_Toc246996204"/>
      <w:bookmarkStart w:id="425" w:name="_Toc144974528"/>
      <w:bookmarkStart w:id="426" w:name="_Toc13691"/>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32451"/>
      <w:bookmarkStart w:id="428" w:name="_Toc247085719"/>
      <w:bookmarkStart w:id="429" w:name="_Toc152042337"/>
      <w:bookmarkStart w:id="430" w:name="_Toc144974529"/>
      <w:bookmarkStart w:id="431" w:name="_Toc35425083"/>
      <w:bookmarkStart w:id="432" w:name="_Toc296602449"/>
      <w:bookmarkStart w:id="433" w:name="_Toc15058876"/>
      <w:bookmarkStart w:id="434" w:name="_Toc152045561"/>
      <w:bookmarkStart w:id="435" w:name="_Toc179632579"/>
      <w:bookmarkStart w:id="436" w:name="_Toc324404844"/>
      <w:bookmarkStart w:id="437" w:name="_Toc246996205"/>
      <w:bookmarkStart w:id="438" w:name="_Toc78803350"/>
      <w:bookmarkStart w:id="439" w:name="_Toc246996948"/>
      <w:bookmarkStart w:id="440" w:name="_Toc506107297"/>
      <w:bookmarkStart w:id="441" w:name="_Toc35424917"/>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296602450"/>
      <w:bookmarkStart w:id="443" w:name="_Toc32440484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144974530"/>
      <w:bookmarkStart w:id="450" w:name="_Toc20689"/>
      <w:bookmarkStart w:id="451" w:name="_Toc247085720"/>
      <w:bookmarkStart w:id="452" w:name="_Toc246996949"/>
      <w:bookmarkStart w:id="453" w:name="_Toc35424919"/>
      <w:bookmarkStart w:id="454" w:name="_Toc78803352"/>
      <w:bookmarkStart w:id="455" w:name="_Toc246996206"/>
      <w:bookmarkStart w:id="456" w:name="_Toc35425085"/>
      <w:bookmarkStart w:id="457" w:name="_Toc324404846"/>
      <w:bookmarkStart w:id="458" w:name="_Toc179632580"/>
      <w:bookmarkStart w:id="459" w:name="_Toc152042338"/>
      <w:bookmarkStart w:id="460" w:name="_Toc15058884"/>
      <w:bookmarkStart w:id="461" w:name="_Toc506107299"/>
      <w:bookmarkStart w:id="462" w:name="_Toc152045562"/>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78803353"/>
      <w:bookmarkStart w:id="464" w:name="_Toc14249"/>
      <w:bookmarkStart w:id="465" w:name="_Toc324404847"/>
      <w:bookmarkStart w:id="466" w:name="_Toc152045563"/>
      <w:bookmarkStart w:id="467" w:name="_Toc144974531"/>
      <w:bookmarkStart w:id="468" w:name="_Toc246996207"/>
      <w:bookmarkStart w:id="469" w:name="_Toc15058885"/>
      <w:bookmarkStart w:id="470" w:name="_Toc35425086"/>
      <w:bookmarkStart w:id="471" w:name="_Toc247085721"/>
      <w:bookmarkStart w:id="472" w:name="_Toc246996950"/>
      <w:bookmarkStart w:id="473" w:name="_Toc179632581"/>
      <w:bookmarkStart w:id="474" w:name="_Toc506107300"/>
      <w:bookmarkStart w:id="475" w:name="_Toc296602452"/>
      <w:bookmarkStart w:id="476" w:name="_Toc152042339"/>
      <w:bookmarkStart w:id="477" w:name="_Toc35424920"/>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246996951"/>
      <w:bookmarkStart w:id="479" w:name="_Toc152045564"/>
      <w:bookmarkStart w:id="480" w:name="_Toc35424921"/>
      <w:bookmarkStart w:id="481" w:name="_Toc324404848"/>
      <w:bookmarkStart w:id="482" w:name="_Toc246996208"/>
      <w:bookmarkStart w:id="483" w:name="_Toc144974532"/>
      <w:bookmarkStart w:id="484" w:name="_Toc152042340"/>
      <w:bookmarkStart w:id="485" w:name="_Toc15058886"/>
      <w:bookmarkStart w:id="486" w:name="_Toc179632582"/>
      <w:bookmarkStart w:id="487" w:name="_Toc506107301"/>
      <w:bookmarkStart w:id="488" w:name="_Toc296602453"/>
      <w:bookmarkStart w:id="489" w:name="_Toc35425087"/>
      <w:bookmarkStart w:id="490" w:name="_Toc78803354"/>
      <w:bookmarkStart w:id="491" w:name="_Toc12948"/>
      <w:bookmarkStart w:id="492" w:name="_Toc247085722"/>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179632583"/>
      <w:bookmarkStart w:id="494" w:name="_Toc246996209"/>
      <w:bookmarkStart w:id="495" w:name="_Toc247085723"/>
      <w:bookmarkStart w:id="496" w:name="_Toc246996952"/>
      <w:bookmarkStart w:id="497" w:name="_Toc35425088"/>
      <w:bookmarkStart w:id="498" w:name="_Toc144974533"/>
      <w:bookmarkStart w:id="499" w:name="_Toc152042341"/>
      <w:bookmarkStart w:id="500" w:name="_Toc35424922"/>
      <w:bookmarkStart w:id="501" w:name="_Toc15058887"/>
      <w:bookmarkStart w:id="502" w:name="_Toc324404849"/>
      <w:bookmarkStart w:id="503" w:name="_Toc296602454"/>
      <w:bookmarkStart w:id="504" w:name="_Toc506107302"/>
      <w:bookmarkStart w:id="505" w:name="_Toc152045565"/>
      <w:bookmarkStart w:id="506" w:name="_Toc14892"/>
      <w:bookmarkStart w:id="507" w:name="_Toc78803355"/>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324404850"/>
      <w:bookmarkStart w:id="509" w:name="_Toc144974534"/>
      <w:bookmarkStart w:id="510" w:name="_Toc246996210"/>
      <w:bookmarkStart w:id="511" w:name="_Toc152045566"/>
      <w:bookmarkStart w:id="512" w:name="_Toc179632584"/>
      <w:bookmarkStart w:id="513" w:name="_Toc247085724"/>
      <w:bookmarkStart w:id="514" w:name="_Toc152042342"/>
      <w:bookmarkStart w:id="515"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15058888"/>
      <w:bookmarkStart w:id="517" w:name="_Toc35424923"/>
      <w:bookmarkStart w:id="518" w:name="_Toc78803356"/>
      <w:bookmarkStart w:id="519" w:name="_Toc35425089"/>
      <w:bookmarkStart w:id="520" w:name="_Toc506107303"/>
      <w:bookmarkStart w:id="521" w:name="_Toc26182"/>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324404852"/>
      <w:bookmarkStart w:id="523" w:name="_Toc95223374"/>
      <w:bookmarkStart w:id="524" w:name="_Toc15058890"/>
      <w:bookmarkStart w:id="525" w:name="_Toc296602457"/>
      <w:bookmarkStart w:id="526" w:name="_Toc83301726"/>
      <w:bookmarkStart w:id="527" w:name="_Toc506107305"/>
      <w:bookmarkStart w:id="528" w:name="_Toc60061472"/>
      <w:bookmarkStart w:id="529" w:name="_Toc4204"/>
      <w:bookmarkStart w:id="530" w:name="_Toc247085726"/>
      <w:bookmarkStart w:id="531" w:name="_Toc14692"/>
      <w:bookmarkStart w:id="532" w:name="_Toc506107306"/>
      <w:bookmarkStart w:id="533" w:name="_Toc246996212"/>
      <w:bookmarkStart w:id="534" w:name="_Toc35424927"/>
      <w:bookmarkStart w:id="535" w:name="_Toc179632586"/>
      <w:bookmarkStart w:id="536" w:name="_Toc152045568"/>
      <w:bookmarkStart w:id="537" w:name="_Toc296602458"/>
      <w:bookmarkStart w:id="538" w:name="_Toc152042344"/>
      <w:bookmarkStart w:id="539" w:name="_Toc15058891"/>
      <w:bookmarkStart w:id="540" w:name="_Toc78803360"/>
      <w:bookmarkStart w:id="541" w:name="_Toc246996955"/>
      <w:bookmarkStart w:id="542" w:name="_Toc35425093"/>
      <w:bookmarkStart w:id="543" w:name="_Toc324404853"/>
      <w:bookmarkStart w:id="544" w:name="_Toc144974536"/>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152045570"/>
      <w:bookmarkStart w:id="549" w:name="_Toc506107308"/>
      <w:bookmarkStart w:id="550" w:name="_Toc247085728"/>
      <w:bookmarkStart w:id="551" w:name="_Toc152042346"/>
      <w:bookmarkStart w:id="552" w:name="_Toc11010"/>
      <w:bookmarkStart w:id="553" w:name="_Toc144974538"/>
      <w:bookmarkStart w:id="554" w:name="_Toc246996214"/>
      <w:bookmarkStart w:id="555" w:name="_Toc324404855"/>
      <w:bookmarkStart w:id="556" w:name="_Toc35424930"/>
      <w:bookmarkStart w:id="557" w:name="_Toc78803363"/>
      <w:bookmarkStart w:id="558" w:name="_Toc15058893"/>
      <w:bookmarkStart w:id="559" w:name="_Toc246996957"/>
      <w:bookmarkStart w:id="560" w:name="_Toc35425096"/>
      <w:bookmarkStart w:id="561" w:name="_Toc179632588"/>
      <w:bookmarkStart w:id="562" w:name="_Toc29660246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95223376"/>
      <w:bookmarkStart w:id="564"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6" w:name="_Toc83301730"/>
      <w:bookmarkStart w:id="567" w:name="_Toc179632587"/>
      <w:bookmarkStart w:id="568" w:name="_Toc60061476"/>
      <w:bookmarkStart w:id="569" w:name="_Toc296602459"/>
      <w:bookmarkStart w:id="570" w:name="_Toc246996213"/>
      <w:bookmarkStart w:id="571" w:name="_Toc144974537"/>
      <w:bookmarkStart w:id="572" w:name="_Toc95223378"/>
      <w:bookmarkStart w:id="573" w:name="_Toc506107307"/>
      <w:bookmarkStart w:id="574" w:name="_Toc246996956"/>
      <w:bookmarkStart w:id="575" w:name="_Toc324404854"/>
      <w:bookmarkStart w:id="576" w:name="_Toc15058892"/>
      <w:bookmarkStart w:id="577" w:name="_Toc152045569"/>
      <w:bookmarkStart w:id="578" w:name="_Toc247085727"/>
      <w:bookmarkStart w:id="579" w:name="_Toc152042345"/>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83301731"/>
      <w:bookmarkStart w:id="581" w:name="_Toc95223379"/>
      <w:bookmarkStart w:id="582" w:name="_Toc60061477"/>
      <w:r>
        <w:rPr>
          <w:rFonts w:hint="eastAsia" w:ascii="宋体" w:hAnsi="宋体" w:eastAsia="宋体" w:cs="宋体"/>
          <w:color w:val="auto"/>
          <w:highlight w:val="none"/>
        </w:rPr>
        <w:t>7.9 签订合同</w:t>
      </w:r>
      <w:bookmarkEnd w:id="580"/>
      <w:bookmarkEnd w:id="581"/>
      <w:bookmarkEnd w:id="58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144974539"/>
      <w:bookmarkStart w:id="584" w:name="_Toc83301732"/>
      <w:bookmarkStart w:id="585" w:name="_Toc179632589"/>
      <w:bookmarkStart w:id="586" w:name="_Toc95223381"/>
      <w:bookmarkStart w:id="587" w:name="_Toc152045571"/>
      <w:bookmarkStart w:id="588" w:name="_Toc152042347"/>
      <w:bookmarkStart w:id="589" w:name="_Toc60061478"/>
      <w:bookmarkStart w:id="590" w:name="_Toc31686"/>
      <w:bookmarkStart w:id="591" w:name="_Toc78803367"/>
      <w:bookmarkStart w:id="592" w:name="_Toc35425097"/>
      <w:bookmarkStart w:id="593" w:name="_Toc26974"/>
      <w:bookmarkStart w:id="594" w:name="_Toc25375"/>
      <w:bookmarkStart w:id="595" w:name="_Toc35424931"/>
      <w:bookmarkStart w:id="596" w:name="_Toc324404864"/>
      <w:bookmarkStart w:id="597" w:name="_Toc15058902"/>
      <w:bookmarkStart w:id="598" w:name="_Toc506107317"/>
      <w:bookmarkStart w:id="599" w:name="_Toc35425105"/>
      <w:bookmarkStart w:id="600" w:name="_Toc35424939"/>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179632590"/>
      <w:bookmarkStart w:id="603" w:name="_Toc152045572"/>
      <w:bookmarkStart w:id="604" w:name="_Toc83301733"/>
      <w:bookmarkStart w:id="605" w:name="_Toc95223382"/>
      <w:bookmarkStart w:id="606" w:name="_Toc152042348"/>
      <w:bookmarkStart w:id="607" w:name="_Toc144974540"/>
      <w:bookmarkStart w:id="608" w:name="_Toc60061479"/>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152045573"/>
      <w:bookmarkStart w:id="610" w:name="_Toc83301734"/>
      <w:bookmarkStart w:id="611" w:name="_Toc60061480"/>
      <w:bookmarkStart w:id="612" w:name="_Toc95223383"/>
      <w:bookmarkStart w:id="613" w:name="_Toc144974541"/>
      <w:bookmarkStart w:id="614" w:name="_Toc179632591"/>
      <w:bookmarkStart w:id="615" w:name="_Toc152042349"/>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78803368"/>
      <w:bookmarkStart w:id="617" w:name="_Toc15607"/>
      <w:bookmarkStart w:id="618" w:name="_Toc35424932"/>
      <w:bookmarkStart w:id="619" w:name="_Toc506107310"/>
      <w:bookmarkStart w:id="620" w:name="_Toc296602462"/>
      <w:bookmarkStart w:id="621" w:name="_Toc152045575"/>
      <w:bookmarkStart w:id="622" w:name="_Toc247085733"/>
      <w:bookmarkStart w:id="623" w:name="_Toc246996219"/>
      <w:bookmarkStart w:id="624" w:name="_Toc152042351"/>
      <w:bookmarkStart w:id="625" w:name="_Toc35425098"/>
      <w:bookmarkStart w:id="626" w:name="_Toc296590983"/>
      <w:bookmarkStart w:id="627" w:name="_Toc2855"/>
      <w:bookmarkStart w:id="628" w:name="_Toc246996962"/>
      <w:bookmarkStart w:id="629" w:name="_Toc15058895"/>
      <w:bookmarkStart w:id="630" w:name="_Toc179632593"/>
      <w:bookmarkStart w:id="631" w:name="_Toc144974543"/>
      <w:bookmarkStart w:id="632" w:name="_Toc324404857"/>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32177"/>
      <w:bookmarkStart w:id="634" w:name="_Toc35425099"/>
      <w:bookmarkStart w:id="635" w:name="_Toc246996220"/>
      <w:bookmarkStart w:id="636" w:name="_Toc144974544"/>
      <w:bookmarkStart w:id="637" w:name="_Toc179632594"/>
      <w:bookmarkStart w:id="638" w:name="_Toc35424933"/>
      <w:bookmarkStart w:id="639" w:name="_Toc246996963"/>
      <w:bookmarkStart w:id="640" w:name="_Toc247085734"/>
      <w:bookmarkStart w:id="641" w:name="_Toc506107311"/>
      <w:bookmarkStart w:id="642" w:name="_Toc19779"/>
      <w:bookmarkStart w:id="643" w:name="_Toc152042352"/>
      <w:bookmarkStart w:id="644" w:name="_Toc296602463"/>
      <w:bookmarkStart w:id="645" w:name="_Toc324404858"/>
      <w:bookmarkStart w:id="646" w:name="_Toc152045576"/>
      <w:bookmarkStart w:id="647" w:name="_Toc15058896"/>
      <w:bookmarkStart w:id="648" w:name="_Toc78803369"/>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246996964"/>
      <w:bookmarkStart w:id="650" w:name="_Toc152042353"/>
      <w:bookmarkStart w:id="651" w:name="_Toc144974545"/>
      <w:bookmarkStart w:id="652" w:name="_Toc35424934"/>
      <w:bookmarkStart w:id="653" w:name="_Toc179632595"/>
      <w:bookmarkStart w:id="654" w:name="_Toc324404859"/>
      <w:bookmarkStart w:id="655" w:name="_Toc15058897"/>
      <w:bookmarkStart w:id="656" w:name="_Toc78803370"/>
      <w:bookmarkStart w:id="657" w:name="_Toc152045577"/>
      <w:bookmarkStart w:id="658" w:name="_Toc296602464"/>
      <w:bookmarkStart w:id="659" w:name="_Toc13043"/>
      <w:bookmarkStart w:id="660" w:name="_Toc35425100"/>
      <w:bookmarkStart w:id="661" w:name="_Toc506107312"/>
      <w:bookmarkStart w:id="662" w:name="_Toc12564"/>
      <w:bookmarkStart w:id="663" w:name="_Toc246996221"/>
      <w:bookmarkStart w:id="664" w:name="_Toc247085735"/>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15058898"/>
      <w:bookmarkStart w:id="666" w:name="_Toc506107313"/>
      <w:bookmarkStart w:id="667" w:name="_Toc179632596"/>
      <w:bookmarkStart w:id="668" w:name="_Toc324404860"/>
      <w:bookmarkStart w:id="669" w:name="_Toc18329"/>
      <w:bookmarkStart w:id="670" w:name="_Toc247085736"/>
      <w:bookmarkStart w:id="671" w:name="_Toc246996222"/>
      <w:bookmarkStart w:id="672" w:name="_Toc35425101"/>
      <w:bookmarkStart w:id="673" w:name="_Toc152045578"/>
      <w:bookmarkStart w:id="674" w:name="_Toc246996965"/>
      <w:bookmarkStart w:id="675" w:name="_Toc78803371"/>
      <w:bookmarkStart w:id="676" w:name="_Toc152042354"/>
      <w:bookmarkStart w:id="677" w:name="_Toc32214"/>
      <w:bookmarkStart w:id="678" w:name="_Toc296602465"/>
      <w:bookmarkStart w:id="679" w:name="_Toc35424935"/>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15058899"/>
      <w:bookmarkStart w:id="683" w:name="_Toc179632597"/>
      <w:bookmarkStart w:id="684" w:name="_Toc296602466"/>
      <w:bookmarkStart w:id="685" w:name="_Toc2811"/>
      <w:bookmarkStart w:id="686" w:name="_Toc23607"/>
      <w:bookmarkStart w:id="687" w:name="_Toc246996223"/>
      <w:bookmarkStart w:id="688" w:name="_Toc35424936"/>
      <w:bookmarkStart w:id="689" w:name="_Toc152042356"/>
      <w:bookmarkStart w:id="690" w:name="_Toc35425102"/>
      <w:bookmarkStart w:id="691" w:name="_Toc506107314"/>
      <w:bookmarkStart w:id="692" w:name="_Toc78803372"/>
      <w:bookmarkStart w:id="693" w:name="_Toc152045579"/>
      <w:bookmarkStart w:id="694" w:name="_Toc246996966"/>
      <w:bookmarkStart w:id="695" w:name="_Toc324404861"/>
      <w:bookmarkStart w:id="696" w:name="_Toc247085737"/>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179632598"/>
      <w:bookmarkStart w:id="698" w:name="_Toc152042357"/>
      <w:bookmarkStart w:id="699" w:name="_Toc16463"/>
      <w:bookmarkStart w:id="700" w:name="_Toc246996224"/>
      <w:bookmarkStart w:id="701" w:name="_Toc35424937"/>
      <w:bookmarkStart w:id="702" w:name="_Toc35425103"/>
      <w:bookmarkStart w:id="703" w:name="_Toc152045580"/>
      <w:bookmarkStart w:id="704" w:name="_Toc324404862"/>
      <w:bookmarkStart w:id="705" w:name="_Toc144974547"/>
      <w:bookmarkStart w:id="706" w:name="_Toc15058900"/>
      <w:bookmarkStart w:id="707" w:name="_Toc78803373"/>
      <w:bookmarkStart w:id="708" w:name="_Toc20669"/>
      <w:bookmarkStart w:id="709" w:name="_Toc506107315"/>
      <w:bookmarkStart w:id="710" w:name="_Toc246996967"/>
      <w:bookmarkStart w:id="711" w:name="_Toc31643"/>
      <w:bookmarkStart w:id="712" w:name="_Toc247085738"/>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pPr>
        <w:spacing w:line="440" w:lineRule="exact"/>
        <w:jc w:val="left"/>
        <w:rPr>
          <w:rFonts w:ascii="宋体" w:hAnsi="宋体" w:cs="宋体"/>
          <w:color w:val="auto"/>
          <w:szCs w:val="21"/>
          <w:highlight w:val="none"/>
        </w:rPr>
      </w:pPr>
    </w:p>
    <w:p>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pPr>
        <w:spacing w:beforeLines="50" w:afterLines="50" w:line="440" w:lineRule="exact"/>
        <w:jc w:val="center"/>
        <w:rPr>
          <w:rFonts w:ascii="宋体" w:hAnsi="宋体" w:cs="宋体"/>
          <w:b/>
          <w:bCs/>
          <w:color w:val="auto"/>
          <w:sz w:val="28"/>
          <w:szCs w:val="22"/>
          <w:highlight w:val="none"/>
        </w:rPr>
      </w:pPr>
      <w:bookmarkStart w:id="715" w:name="_Toc35424940"/>
      <w:bookmarkStart w:id="716" w:name="_Toc35425106"/>
      <w:bookmarkStart w:id="717" w:name="_Toc15058903"/>
      <w:bookmarkStart w:id="718" w:name="_Toc506107318"/>
      <w:bookmarkStart w:id="719" w:name="_Toc324404865"/>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pPr>
              <w:spacing w:line="4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w:t>
            </w:r>
            <w:r>
              <w:rPr>
                <w:rFonts w:hint="eastAsia" w:ascii="宋体" w:hAnsi="宋体" w:cs="宋体"/>
                <w:color w:val="auto"/>
                <w:szCs w:val="21"/>
                <w:highlight w:val="none"/>
              </w:rPr>
              <w:t>拟任项目经理（建造师）</w:t>
            </w:r>
            <w:r>
              <w:rPr>
                <w:rFonts w:hint="eastAsia" w:ascii="宋体" w:hAnsi="宋体" w:cs="宋体"/>
                <w:color w:val="auto"/>
                <w:szCs w:val="21"/>
                <w:highlight w:val="none"/>
              </w:rPr>
              <w:t>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spacing w:line="440" w:lineRule="exact"/>
              <w:rPr>
                <w:rFonts w:ascii="宋体" w:hAnsi="宋体" w:cs="宋体"/>
                <w:color w:val="auto"/>
                <w:szCs w:val="21"/>
                <w:highlight w:val="none"/>
              </w:rPr>
            </w:pPr>
          </w:p>
        </w:tc>
      </w:tr>
    </w:tbl>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pPr>
        <w:pStyle w:val="4"/>
        <w:spacing w:beforeLines="50" w:afterLines="50"/>
        <w:ind w:firstLine="422" w:firstLineChars="200"/>
        <w:rPr>
          <w:rFonts w:ascii="宋体" w:hAnsi="宋体" w:eastAsia="宋体" w:cs="宋体"/>
          <w:color w:val="auto"/>
          <w:highlight w:val="none"/>
        </w:rPr>
      </w:pPr>
      <w:bookmarkStart w:id="720" w:name="_Toc78803377"/>
      <w:bookmarkStart w:id="721" w:name="_Toc15058909"/>
      <w:bookmarkStart w:id="722" w:name="_Toc35425108"/>
      <w:bookmarkStart w:id="723" w:name="_Toc324404867"/>
      <w:bookmarkStart w:id="724" w:name="_Toc35424942"/>
      <w:bookmarkStart w:id="725" w:name="_Toc12549"/>
      <w:bookmarkStart w:id="726" w:name="_Toc506107320"/>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4"/>
        <w:spacing w:beforeLines="50" w:afterLines="50"/>
        <w:ind w:firstLine="422" w:firstLineChars="200"/>
        <w:rPr>
          <w:rFonts w:ascii="宋体" w:hAnsi="宋体" w:eastAsia="宋体" w:cs="宋体"/>
          <w:color w:val="auto"/>
          <w:highlight w:val="none"/>
        </w:rPr>
      </w:pPr>
      <w:bookmarkStart w:id="727" w:name="_Toc15626"/>
      <w:bookmarkStart w:id="728" w:name="_Toc324404868"/>
      <w:bookmarkStart w:id="729" w:name="_Toc506107321"/>
      <w:bookmarkStart w:id="730" w:name="_Toc35424943"/>
      <w:bookmarkStart w:id="731" w:name="_Toc78803378"/>
      <w:bookmarkStart w:id="732" w:name="_Toc35425109"/>
      <w:bookmarkStart w:id="733" w:name="_Toc15058910"/>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pPr>
        <w:spacing w:line="440" w:lineRule="exact"/>
        <w:ind w:firstLine="420" w:firstLineChars="200"/>
        <w:jc w:val="left"/>
        <w:rPr>
          <w:rFonts w:hint="eastAsia" w:ascii="宋体" w:hAnsi="宋体" w:eastAsia="宋体" w:cs="宋体"/>
          <w:color w:val="auto"/>
          <w:szCs w:val="21"/>
          <w:highlight w:val="none"/>
        </w:rPr>
      </w:pPr>
      <w:bookmarkStart w:id="734" w:name="_Toc506107322"/>
      <w:bookmarkStart w:id="735" w:name="_Toc35424944"/>
      <w:bookmarkStart w:id="736" w:name="_Toc324404869"/>
      <w:bookmarkStart w:id="737" w:name="_Toc10330"/>
      <w:bookmarkStart w:id="738" w:name="_Toc78803379"/>
      <w:bookmarkStart w:id="739" w:name="_Toc15058911"/>
      <w:bookmarkStart w:id="740" w:name="_Toc3542511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pPr>
        <w:pStyle w:val="3"/>
        <w:numPr>
          <w:ilvl w:val="0"/>
          <w:numId w:val="4"/>
        </w:numPr>
        <w:spacing w:beforeLines="50" w:afterLines="50"/>
        <w:rPr>
          <w:rFonts w:hint="eastAsia" w:ascii="Arial" w:hAnsi="Arial"/>
          <w:color w:val="auto"/>
          <w:kern w:val="0"/>
          <w:sz w:val="32"/>
          <w:szCs w:val="32"/>
          <w:highlight w:val="none"/>
        </w:rPr>
      </w:pPr>
      <w:bookmarkStart w:id="742" w:name="_Toc15058912"/>
      <w:bookmarkStart w:id="743" w:name="_Toc35424945"/>
      <w:bookmarkStart w:id="744" w:name="_Toc35425111"/>
      <w:r>
        <w:rPr>
          <w:rFonts w:hint="eastAsia"/>
          <w:color w:val="auto"/>
          <w:highlight w:val="none"/>
        </w:rPr>
        <w:br w:type="page"/>
      </w:r>
      <w:bookmarkStart w:id="745" w:name="_Toc78803380"/>
      <w:r>
        <w:rPr>
          <w:rFonts w:hint="eastAsia" w:ascii="Arial" w:hAnsi="Arial"/>
          <w:color w:val="auto"/>
          <w:kern w:val="0"/>
          <w:sz w:val="32"/>
          <w:szCs w:val="32"/>
          <w:highlight w:val="none"/>
        </w:rPr>
        <w:t xml:space="preserve"> 评标办法</w:t>
      </w:r>
      <w:bookmarkEnd w:id="601"/>
      <w:bookmarkEnd w:id="741"/>
      <w:bookmarkEnd w:id="742"/>
      <w:bookmarkEnd w:id="743"/>
      <w:bookmarkEnd w:id="744"/>
      <w:bookmarkEnd w:id="745"/>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一</w:t>
      </w:r>
      <w:r>
        <w:rPr>
          <w:rFonts w:hint="eastAsia" w:ascii="Times New Roman" w:hAnsi="Times New Roman" w:eastAsia="宋体" w:cs="Times New Roman"/>
          <w:b/>
          <w:color w:val="auto"/>
          <w:sz w:val="28"/>
          <w:szCs w:val="21"/>
          <w:highlight w:val="none"/>
          <w:lang w:val="en-US" w:eastAsia="zh-CN"/>
        </w:rPr>
        <w:t>）资信标评分细则（</w:t>
      </w:r>
      <w:r>
        <w:rPr>
          <w:rFonts w:hint="eastAsia" w:cs="Times New Roman"/>
          <w:b/>
          <w:color w:val="auto"/>
          <w:sz w:val="28"/>
          <w:szCs w:val="21"/>
          <w:highlight w:val="none"/>
          <w:lang w:val="en-US" w:eastAsia="zh-CN"/>
        </w:rPr>
        <w:t>26</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29"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资信</w:t>
            </w:r>
            <w:r>
              <w:rPr>
                <w:rFonts w:hint="eastAsia" w:ascii="宋体" w:hAnsi="宋体" w:eastAsia="宋体" w:cs="宋体"/>
                <w:color w:val="auto"/>
                <w:sz w:val="21"/>
                <w:szCs w:val="21"/>
                <w:highlight w:val="none"/>
              </w:rPr>
              <w:t>标评分标准</w:t>
            </w:r>
          </w:p>
        </w:tc>
        <w:tc>
          <w:tcPr>
            <w:tcW w:w="2610" w:type="dxa"/>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企业实力</w:t>
            </w:r>
          </w:p>
          <w:p>
            <w:pPr>
              <w:jc w:val="center"/>
              <w:rPr>
                <w:rFonts w:hint="default" w:eastAsia="宋体"/>
                <w:color w:val="auto"/>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5614" w:type="dxa"/>
            <w:shd w:val="clear" w:color="auto" w:fill="auto"/>
            <w:noWrap w:val="0"/>
            <w:vAlign w:val="center"/>
          </w:tcPr>
          <w:p>
            <w:pPr>
              <w:rPr>
                <w:rFonts w:hint="eastAsia"/>
                <w:color w:val="auto"/>
                <w:highlight w:val="none"/>
              </w:rPr>
            </w:pPr>
            <w:r>
              <w:rPr>
                <w:rFonts w:hint="eastAsia"/>
                <w:color w:val="auto"/>
                <w:highlight w:val="none"/>
              </w:rPr>
              <w:t>企业认证体系：投标人具有经中国国家认证认可监督管理委员会认证机构颁发的有效期内的下述证书的，每有一个证书得</w:t>
            </w:r>
            <w:r>
              <w:rPr>
                <w:rFonts w:hint="eastAsia"/>
                <w:color w:val="auto"/>
                <w:highlight w:val="none"/>
                <w:lang w:val="en-US" w:eastAsia="zh-CN"/>
              </w:rPr>
              <w:t>1</w:t>
            </w:r>
            <w:r>
              <w:rPr>
                <w:rFonts w:hint="eastAsia"/>
                <w:color w:val="auto"/>
                <w:highlight w:val="none"/>
              </w:rPr>
              <w:t>分，本项最高</w:t>
            </w:r>
            <w:r>
              <w:rPr>
                <w:rFonts w:hint="eastAsia"/>
                <w:color w:val="auto"/>
                <w:highlight w:val="none"/>
                <w:lang w:val="en-US" w:eastAsia="zh-CN"/>
              </w:rPr>
              <w:t>3</w:t>
            </w:r>
            <w:r>
              <w:rPr>
                <w:rFonts w:hint="eastAsia"/>
                <w:color w:val="auto"/>
                <w:highlight w:val="none"/>
              </w:rPr>
              <w:t>分。</w:t>
            </w:r>
          </w:p>
          <w:p>
            <w:pPr>
              <w:rPr>
                <w:rFonts w:hint="eastAsia"/>
                <w:color w:val="auto"/>
                <w:highlight w:val="none"/>
              </w:rPr>
            </w:pPr>
            <w:r>
              <w:rPr>
                <w:rFonts w:hint="eastAsia"/>
                <w:color w:val="auto"/>
                <w:highlight w:val="none"/>
              </w:rPr>
              <w:t>（1）质量管理体系认证证书</w:t>
            </w:r>
          </w:p>
          <w:p>
            <w:pPr>
              <w:rPr>
                <w:rFonts w:hint="eastAsia"/>
                <w:color w:val="auto"/>
                <w:highlight w:val="none"/>
              </w:rPr>
            </w:pPr>
            <w:r>
              <w:rPr>
                <w:rFonts w:hint="eastAsia"/>
                <w:color w:val="auto"/>
                <w:highlight w:val="none"/>
              </w:rPr>
              <w:t>（2）环境管理体系认证证书</w:t>
            </w:r>
          </w:p>
          <w:p>
            <w:pPr>
              <w:rPr>
                <w:rFonts w:hint="default" w:eastAsia="宋体"/>
                <w:color w:val="auto"/>
                <w:highlight w:val="none"/>
                <w:lang w:val="en-US" w:eastAsia="zh-CN"/>
              </w:rPr>
            </w:pPr>
            <w:r>
              <w:rPr>
                <w:rFonts w:hint="eastAsia"/>
                <w:color w:val="auto"/>
                <w:highlight w:val="none"/>
              </w:rPr>
              <w:t>（3）职业健康安全管理体系认证证书</w:t>
            </w:r>
            <w:r>
              <w:rPr>
                <w:rFonts w:hint="eastAsia"/>
                <w:color w:val="auto"/>
                <w:highlight w:val="none"/>
                <w:lang w:val="en-US" w:eastAsia="zh-CN"/>
              </w:rPr>
              <w:t xml:space="preserve">  </w:t>
            </w:r>
          </w:p>
          <w:p>
            <w:pPr>
              <w:rPr>
                <w:rFonts w:hint="eastAsia" w:ascii="宋体" w:hAnsi="宋体" w:eastAsia="宋体" w:cs="宋体"/>
                <w:color w:val="auto"/>
                <w:sz w:val="21"/>
                <w:szCs w:val="21"/>
                <w:highlight w:val="none"/>
                <w:lang w:val="en-US" w:eastAsia="zh-CN"/>
              </w:rPr>
            </w:pPr>
            <w:r>
              <w:rPr>
                <w:rFonts w:hint="eastAsia"/>
                <w:color w:val="auto"/>
                <w:highlight w:val="none"/>
              </w:rPr>
              <w:t>注：同时提供上述证书原件</w:t>
            </w:r>
            <w:r>
              <w:rPr>
                <w:rFonts w:hint="eastAsia"/>
                <w:color w:val="auto"/>
                <w:highlight w:val="none"/>
                <w:lang w:eastAsia="zh-CN"/>
              </w:rPr>
              <w:t>复印件</w:t>
            </w:r>
            <w:r>
              <w:rPr>
                <w:rFonts w:hint="eastAsia"/>
                <w:color w:val="auto"/>
                <w:highlight w:val="none"/>
              </w:rPr>
              <w:t>和中国国家认证认可监督管理委员会网站（www.cnca.gov.cn）证书查询截图</w:t>
            </w:r>
            <w:r>
              <w:rPr>
                <w:rFonts w:hint="eastAsia"/>
                <w:color w:val="auto"/>
                <w:highlight w:val="none"/>
                <w:lang w:val="en-US" w:eastAsia="zh-CN"/>
              </w:rPr>
              <w:t>打印</w:t>
            </w:r>
            <w:r>
              <w:rPr>
                <w:rFonts w:hint="eastAsia"/>
                <w:color w:val="auto"/>
                <w:highlight w:val="none"/>
              </w:rPr>
              <w:t>，且认证范围包含拟承担的服务内容，否则不得分。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val="en-US" w:eastAsia="zh-CN"/>
              </w:rPr>
            </w:pPr>
          </w:p>
        </w:tc>
        <w:tc>
          <w:tcPr>
            <w:tcW w:w="2610" w:type="dxa"/>
            <w:noWrap w:val="0"/>
            <w:vAlign w:val="center"/>
          </w:tcPr>
          <w:p>
            <w:pPr>
              <w:adjustRightInd w:val="0"/>
              <w:snapToGrid w:val="0"/>
              <w:spacing w:line="560" w:lineRule="exact"/>
              <w:jc w:val="center"/>
              <w:rPr>
                <w:rFonts w:hint="eastAsia" w:ascii="宋体" w:hAnsi="宋体" w:cs="宋体"/>
                <w:color w:val="auto"/>
                <w:kern w:val="0"/>
                <w:szCs w:val="21"/>
                <w:highlight w:val="none"/>
              </w:rPr>
            </w:pPr>
            <w:r>
              <w:rPr>
                <w:rFonts w:hint="eastAsia" w:ascii="宋体" w:hAnsi="宋体"/>
                <w:color w:val="auto"/>
                <w:szCs w:val="21"/>
                <w:highlight w:val="none"/>
                <w:lang w:val="en-US" w:eastAsia="zh-CN"/>
              </w:rPr>
              <w:t>安全生产标准建设化等级（3分）</w:t>
            </w:r>
          </w:p>
        </w:tc>
        <w:tc>
          <w:tcPr>
            <w:tcW w:w="5614" w:type="dxa"/>
            <w:shd w:val="clear" w:color="auto" w:fill="auto"/>
            <w:noWrap w:val="0"/>
            <w:vAlign w:val="center"/>
          </w:tcPr>
          <w:p>
            <w:pPr>
              <w:adjustRightInd w:val="0"/>
              <w:snapToGrid w:val="0"/>
              <w:spacing w:line="560" w:lineRule="exact"/>
              <w:rPr>
                <w:rFonts w:hint="default"/>
                <w:color w:val="auto"/>
                <w:highlight w:val="none"/>
                <w:lang w:val="en-US"/>
              </w:rPr>
            </w:pPr>
            <w:r>
              <w:rPr>
                <w:rFonts w:hint="eastAsia" w:ascii="宋体" w:hAnsi="宋体"/>
                <w:color w:val="auto"/>
                <w:szCs w:val="21"/>
                <w:highlight w:val="none"/>
                <w:lang w:val="en-US" w:eastAsia="zh-CN"/>
              </w:rPr>
              <w:t>获得交通运输部监制的交通运输企业安全生产标准化一级证明证书得3分；提供证书扫描件。证书经营类型须为交通运输工程建设，证书类别须为交通运输建筑施工企业。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jc w:val="center"/>
              <w:rPr>
                <w:rFonts w:hint="eastAsia"/>
                <w:b/>
                <w:bCs/>
                <w:color w:val="auto"/>
                <w:highlight w:val="none"/>
              </w:rPr>
            </w:pPr>
            <w:r>
              <w:rPr>
                <w:rFonts w:hint="eastAsia" w:ascii="宋体" w:hAnsi="宋体" w:cs="宋体"/>
                <w:color w:val="auto"/>
                <w:kern w:val="0"/>
                <w:szCs w:val="21"/>
                <w:highlight w:val="none"/>
                <w:lang w:val="en-US" w:eastAsia="zh-CN"/>
              </w:rPr>
              <w:t>企业</w:t>
            </w:r>
            <w:r>
              <w:rPr>
                <w:rFonts w:hint="eastAsia" w:ascii="宋体" w:hAnsi="宋体" w:cs="宋体"/>
                <w:color w:val="auto"/>
                <w:kern w:val="0"/>
                <w:szCs w:val="21"/>
                <w:highlight w:val="none"/>
              </w:rPr>
              <w:t>业绩（</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tc>
        <w:tc>
          <w:tcPr>
            <w:tcW w:w="5614" w:type="dxa"/>
            <w:shd w:val="clear" w:color="auto" w:fill="auto"/>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年1月1日以来</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水稳填充大粒径碎石基层道路业绩的得6分，本项目最高得12分</w:t>
            </w:r>
            <w:r>
              <w:rPr>
                <w:rFonts w:hint="eastAsia" w:ascii="宋体" w:hAnsi="宋体" w:cs="宋体"/>
                <w:color w:val="auto"/>
                <w:kern w:val="0"/>
                <w:szCs w:val="21"/>
                <w:highlight w:val="none"/>
              </w:rPr>
              <w:t>。</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同时提供下列资料</w:t>
            </w:r>
            <w:r>
              <w:rPr>
                <w:rFonts w:hint="eastAsia" w:ascii="宋体" w:hAnsi="宋体" w:cs="宋体"/>
                <w:color w:val="auto"/>
                <w:kern w:val="0"/>
                <w:szCs w:val="21"/>
                <w:highlight w:val="none"/>
                <w:lang w:eastAsia="zh-CN"/>
              </w:rPr>
              <w:t>复印件</w:t>
            </w:r>
            <w:r>
              <w:rPr>
                <w:rFonts w:hint="eastAsia" w:ascii="宋体" w:hAnsi="宋体" w:cs="宋体"/>
                <w:color w:val="auto"/>
                <w:kern w:val="0"/>
                <w:szCs w:val="21"/>
                <w:highlight w:val="none"/>
              </w:rPr>
              <w:t>：</w:t>
            </w:r>
          </w:p>
          <w:p>
            <w:pPr>
              <w:pStyle w:val="12"/>
              <w:ind w:left="0" w:leftChars="0"/>
              <w:rPr>
                <w:rFonts w:hint="eastAsia" w:ascii="宋体" w:hAnsi="宋体" w:cs="宋体"/>
                <w:color w:val="auto"/>
                <w:szCs w:val="21"/>
                <w:highlight w:val="none"/>
              </w:rPr>
            </w:pPr>
            <w:r>
              <w:rPr>
                <w:rFonts w:hint="eastAsia" w:ascii="宋体" w:hAnsi="宋体" w:cs="宋体"/>
                <w:color w:val="auto"/>
                <w:kern w:val="0"/>
                <w:szCs w:val="21"/>
                <w:highlight w:val="none"/>
              </w:rPr>
              <w:t>①中标通知书、②</w:t>
            </w:r>
            <w:r>
              <w:rPr>
                <w:rFonts w:hint="eastAsia" w:ascii="宋体" w:hAnsi="宋体" w:cs="宋体"/>
                <w:color w:val="auto"/>
                <w:kern w:val="0"/>
                <w:szCs w:val="21"/>
                <w:highlight w:val="none"/>
                <w:lang w:val="en-US" w:eastAsia="zh-CN"/>
              </w:rPr>
              <w:t>施工合同</w:t>
            </w:r>
            <w:r>
              <w:rPr>
                <w:rFonts w:hint="eastAsia" w:ascii="宋体" w:hAnsi="宋体" w:cs="宋体"/>
                <w:color w:val="auto"/>
                <w:kern w:val="0"/>
                <w:szCs w:val="21"/>
                <w:highlight w:val="none"/>
              </w:rPr>
              <w:t>、③竣工验收报告（或竣工验收证明或竣工验收记录或竣工验收备案证）。三者缺一不可。时间以竣工验收报告（或竣工验收证明或竣工验收记录件或竣工验收备案证）日期为准，工程规模和造价以合同为准（合同中无法体现的应提供有建设单位盖章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项目管理机构</w:t>
            </w:r>
          </w:p>
          <w:p>
            <w:pPr>
              <w:jc w:val="center"/>
              <w:rPr>
                <w:rFonts w:hint="eastAsia"/>
                <w:b/>
                <w:bCs/>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c>
          <w:tcPr>
            <w:tcW w:w="5614" w:type="dxa"/>
            <w:shd w:val="clear" w:color="auto" w:fill="auto"/>
            <w:noWrap w:val="0"/>
            <w:vAlign w:val="top"/>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1、具有</w:t>
            </w:r>
            <w:r>
              <w:rPr>
                <w:rFonts w:hint="eastAsia" w:ascii="宋体" w:hAnsi="宋体" w:cs="宋体"/>
                <w:color w:val="auto"/>
                <w:kern w:val="0"/>
                <w:szCs w:val="21"/>
                <w:highlight w:val="none"/>
                <w:lang w:val="en-US" w:eastAsia="zh-CN"/>
              </w:rPr>
              <w:t>公路相关</w:t>
            </w:r>
            <w:r>
              <w:rPr>
                <w:rFonts w:hint="eastAsia" w:ascii="宋体" w:hAnsi="宋体" w:cs="宋体"/>
                <w:color w:val="auto"/>
                <w:kern w:val="0"/>
                <w:szCs w:val="21"/>
                <w:highlight w:val="none"/>
              </w:rPr>
              <w:t>专业高级</w:t>
            </w:r>
            <w:r>
              <w:rPr>
                <w:rFonts w:hint="eastAsia" w:ascii="宋体" w:hAnsi="宋体" w:cs="宋体"/>
                <w:color w:val="auto"/>
                <w:kern w:val="0"/>
                <w:szCs w:val="21"/>
                <w:highlight w:val="none"/>
                <w:lang w:val="en-US" w:eastAsia="zh-CN"/>
              </w:rPr>
              <w:t>及以上</w:t>
            </w:r>
            <w:r>
              <w:rPr>
                <w:rFonts w:hint="eastAsia" w:ascii="宋体" w:hAnsi="宋体" w:cs="宋体"/>
                <w:color w:val="auto"/>
                <w:kern w:val="0"/>
                <w:szCs w:val="21"/>
                <w:highlight w:val="none"/>
              </w:rPr>
              <w:t>技术职称</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本项最多得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包含项目负责人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投标人拟组建的项目机构成员（项目负责人除外）中具有公路相关</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中级及以上职称的，每提供一份得2分，最多4分。</w:t>
            </w:r>
          </w:p>
          <w:p>
            <w:pPr>
              <w:widowControl/>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注：同一人不可重复得分。</w:t>
            </w:r>
          </w:p>
        </w:tc>
      </w:tr>
    </w:tbl>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24</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技术标评分标准</w:t>
            </w:r>
          </w:p>
        </w:tc>
        <w:tc>
          <w:tcPr>
            <w:tcW w:w="2610" w:type="dxa"/>
            <w:noWrap w:val="0"/>
            <w:vAlign w:val="center"/>
          </w:tcPr>
          <w:p>
            <w:pPr>
              <w:spacing w:line="440" w:lineRule="exact"/>
              <w:jc w:val="center"/>
              <w:rPr>
                <w:rFonts w:hint="default" w:eastAsia="宋体"/>
                <w:color w:val="auto"/>
                <w:highlight w:val="none"/>
                <w:lang w:val="en-US" w:eastAsia="zh-CN"/>
              </w:rPr>
            </w:pPr>
            <w:r>
              <w:rPr>
                <w:rFonts w:hint="eastAsia" w:ascii="宋体" w:hAnsi="宋体" w:cs="宋体"/>
                <w:b/>
                <w:bCs/>
                <w:color w:val="auto"/>
                <w:szCs w:val="21"/>
                <w:highlight w:val="none"/>
                <w:lang w:val="en-US" w:eastAsia="zh-CN"/>
              </w:rPr>
              <w:t>供货及实施方案</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5614" w:type="dxa"/>
            <w:shd w:val="clear" w:color="auto" w:fill="auto"/>
            <w:noWrap w:val="0"/>
            <w:vAlign w:val="center"/>
          </w:tcPr>
          <w:p>
            <w:pPr>
              <w:numPr>
                <w:ilvl w:val="0"/>
                <w:numId w:val="5"/>
              </w:numPr>
              <w:tabs>
                <w:tab w:val="right" w:leader="dot" w:pos="8306"/>
              </w:tabs>
              <w:spacing w:line="440" w:lineRule="exact"/>
              <w:jc w:val="left"/>
              <w:rPr>
                <w:rFonts w:hint="default"/>
                <w:color w:val="auto"/>
                <w:highlight w:val="none"/>
                <w:lang w:val="en-US" w:eastAsia="zh-CN"/>
              </w:rPr>
            </w:pPr>
            <w:r>
              <w:rPr>
                <w:rFonts w:hint="eastAsia"/>
                <w:color w:val="auto"/>
                <w:highlight w:val="none"/>
                <w:lang w:val="en-US" w:eastAsia="zh-CN"/>
              </w:rPr>
              <w:t>供货及实施方案：鉴于项目施工位置运输条件较简陋，针对本项目提出有针对性的供货及实施方案，包括但不限于现场实施堆料、预处理、分段实施等具体方案以及针对项目实施的重难点分析及配套解决方案，优得2-3分；良得1-2（含）分，一般得0-1（含）分，未提供或不合格不得分；</w:t>
            </w:r>
          </w:p>
          <w:p>
            <w:pPr>
              <w:numPr>
                <w:ilvl w:val="0"/>
                <w:numId w:val="5"/>
              </w:numPr>
              <w:tabs>
                <w:tab w:val="right" w:leader="dot" w:pos="8306"/>
              </w:tabs>
              <w:spacing w:line="440" w:lineRule="exact"/>
              <w:jc w:val="left"/>
              <w:rPr>
                <w:rFonts w:hint="default"/>
                <w:color w:val="auto"/>
                <w:highlight w:val="none"/>
                <w:lang w:val="en-US" w:eastAsia="zh-CN"/>
              </w:rPr>
            </w:pPr>
            <w:r>
              <w:rPr>
                <w:rFonts w:hint="eastAsia"/>
                <w:color w:val="auto"/>
                <w:highlight w:val="none"/>
                <w:lang w:val="en-US" w:eastAsia="zh-CN"/>
              </w:rPr>
              <w:t>与原道路施工单位的配合：鉴于该项目为原道路延伸补充工程，针对项目实施过程中，基础道路路基的要求与原道路施工单位对接，以及实施过程中的相互配合方案及技术要求，优得2-3分；良得1-2（含）分，一般得0-1（含）分，未提供或不合格不得分；原道路施工单位联系方式可向招标人获取。</w:t>
            </w:r>
          </w:p>
          <w:p>
            <w:pPr>
              <w:numPr>
                <w:ilvl w:val="0"/>
                <w:numId w:val="5"/>
              </w:numPr>
              <w:tabs>
                <w:tab w:val="right" w:leader="dot" w:pos="8306"/>
              </w:tabs>
              <w:spacing w:line="440" w:lineRule="exact"/>
              <w:jc w:val="left"/>
              <w:rPr>
                <w:rFonts w:hint="default"/>
                <w:color w:val="auto"/>
                <w:highlight w:val="none"/>
                <w:lang w:val="en-US" w:eastAsia="zh-CN"/>
              </w:rPr>
            </w:pPr>
            <w:r>
              <w:rPr>
                <w:rFonts w:hint="eastAsia"/>
                <w:color w:val="auto"/>
                <w:highlight w:val="none"/>
                <w:lang w:val="en-US" w:eastAsia="zh-CN"/>
              </w:rPr>
              <w:t>质量把控方案：针对本项目实施前对基础路基路面的勘察，实施过程的质量监控方案，以及完成后自验收、预验收方案等；优得2-3分；良得1-2（含）分，一般得0-1（含）分，未提供或不合格不得分；</w:t>
            </w:r>
          </w:p>
          <w:p>
            <w:pPr>
              <w:numPr>
                <w:ilvl w:val="0"/>
                <w:numId w:val="5"/>
              </w:numPr>
              <w:tabs>
                <w:tab w:val="right" w:leader="dot" w:pos="8306"/>
              </w:tabs>
              <w:spacing w:line="440" w:lineRule="exact"/>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bidi="ar-SA"/>
              </w:rPr>
              <w:t>施工技术方案：针对本项目现场情况，道路实施过程中可达到的成品状态、具体实施方案、材料配比配方、施工流程要求等专业内容进行方案式解析；</w:t>
            </w:r>
            <w:r>
              <w:rPr>
                <w:rFonts w:hint="eastAsia"/>
                <w:color w:val="auto"/>
                <w:highlight w:val="none"/>
                <w:lang w:val="en-US" w:eastAsia="zh-CN"/>
              </w:rPr>
              <w:t>优得2-3分；良得1-2（含）分，一般得0-1（含）分，未提供或不合格不得分；</w:t>
            </w:r>
          </w:p>
          <w:p>
            <w:pPr>
              <w:numPr>
                <w:ilvl w:val="0"/>
                <w:numId w:val="5"/>
              </w:numPr>
              <w:tabs>
                <w:tab w:val="right" w:leader="dot" w:pos="8306"/>
              </w:tabs>
              <w:spacing w:line="440" w:lineRule="exact"/>
              <w:jc w:val="left"/>
              <w:rPr>
                <w:rFonts w:hint="eastAsia" w:ascii="宋体" w:hAnsi="宋体" w:eastAsia="宋体" w:cs="宋体"/>
                <w:color w:val="auto"/>
                <w:sz w:val="21"/>
                <w:szCs w:val="21"/>
                <w:highlight w:val="none"/>
                <w:lang w:val="en-US" w:eastAsia="zh-CN"/>
              </w:rPr>
            </w:pPr>
            <w:r>
              <w:rPr>
                <w:rFonts w:hint="eastAsia"/>
                <w:color w:val="auto"/>
                <w:sz w:val="21"/>
                <w:szCs w:val="21"/>
                <w:highlight w:val="none"/>
              </w:rPr>
              <w:t>安全生产</w:t>
            </w:r>
            <w:r>
              <w:rPr>
                <w:rFonts w:hint="eastAsia"/>
                <w:color w:val="auto"/>
                <w:sz w:val="21"/>
                <w:szCs w:val="21"/>
                <w:highlight w:val="none"/>
                <w:lang w:eastAsia="zh-CN"/>
              </w:rPr>
              <w:t>：</w:t>
            </w:r>
            <w:r>
              <w:rPr>
                <w:rFonts w:hint="eastAsia"/>
                <w:color w:val="auto"/>
                <w:sz w:val="21"/>
                <w:szCs w:val="21"/>
                <w:highlight w:val="none"/>
              </w:rPr>
              <w:t>安全措施有效、工作方案内容全面、科学、合理、可行。对此进行横向比较、综合打分，</w:t>
            </w:r>
            <w:r>
              <w:rPr>
                <w:rFonts w:hint="eastAsia"/>
                <w:color w:val="auto"/>
                <w:highlight w:val="none"/>
                <w:lang w:val="en-US" w:eastAsia="zh-CN"/>
              </w:rPr>
              <w:t>优得2-3分；良得1-2（含）分，一般得0-1（含）分，未提供或不合格不得分；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spacing w:line="440" w:lineRule="exact"/>
              <w:jc w:val="center"/>
              <w:rPr>
                <w:rFonts w:hint="eastAsia"/>
                <w:b/>
                <w:bCs/>
                <w:color w:val="auto"/>
                <w:highlight w:val="none"/>
              </w:rPr>
            </w:pPr>
            <w:r>
              <w:rPr>
                <w:rFonts w:hint="eastAsia" w:ascii="宋体" w:hAnsi="宋体" w:cs="宋体"/>
                <w:color w:val="auto"/>
                <w:kern w:val="0"/>
                <w:szCs w:val="21"/>
                <w:highlight w:val="none"/>
                <w:lang w:eastAsia="zh-CN"/>
              </w:rPr>
              <w:t>售后服务（</w:t>
            </w:r>
            <w:r>
              <w:rPr>
                <w:rFonts w:hint="eastAsia" w:ascii="宋体" w:hAnsi="宋体" w:cs="宋体"/>
                <w:color w:val="auto"/>
                <w:kern w:val="0"/>
                <w:szCs w:val="21"/>
                <w:highlight w:val="none"/>
                <w:lang w:val="en-US" w:eastAsia="zh-CN"/>
              </w:rPr>
              <w:t>9分）</w:t>
            </w:r>
          </w:p>
        </w:tc>
        <w:tc>
          <w:tcPr>
            <w:tcW w:w="5614" w:type="dxa"/>
            <w:shd w:val="clear" w:color="auto" w:fill="auto"/>
            <w:noWrap w:val="0"/>
            <w:vAlign w:val="center"/>
          </w:tcPr>
          <w:p>
            <w:pPr>
              <w:pStyle w:val="14"/>
              <w:numPr>
                <w:ilvl w:val="0"/>
                <w:numId w:val="6"/>
              </w:numPr>
              <w:spacing w:after="0" w:line="440" w:lineRule="exact"/>
              <w:ind w:left="0" w:leftChars="0" w:firstLine="0" w:firstLineChars="0"/>
              <w:jc w:val="left"/>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缺陷责任期</w:t>
            </w:r>
            <w:r>
              <w:rPr>
                <w:rFonts w:hint="eastAsia" w:ascii="宋体" w:hAnsi="宋体" w:eastAsia="宋体" w:cs="宋体"/>
                <w:color w:val="auto"/>
                <w:szCs w:val="21"/>
                <w:highlight w:val="none"/>
                <w:lang w:val="en-US" w:eastAsia="zh-CN"/>
              </w:rPr>
              <w:t>对路面破损、路面平整度等因素做定期巡视，如出现需要修复的情形，免费提供修复</w:t>
            </w:r>
            <w:r>
              <w:rPr>
                <w:rFonts w:hint="eastAsia"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w:t>
            </w:r>
            <w:r>
              <w:rPr>
                <w:rFonts w:hint="eastAsia" w:hAnsi="宋体" w:cs="宋体"/>
                <w:color w:val="auto"/>
                <w:szCs w:val="21"/>
                <w:highlight w:val="none"/>
                <w:lang w:val="en-US" w:eastAsia="zh-CN"/>
              </w:rPr>
              <w:t>对地磅、洗车机系统提供免费维护服务，接到招标人维护维修通知后5个工作日内响应并提供相应服务</w:t>
            </w:r>
            <w:r>
              <w:rPr>
                <w:rFonts w:hint="eastAsia" w:ascii="宋体" w:hAnsi="宋体" w:eastAsia="宋体" w:cs="宋体"/>
                <w:color w:val="auto"/>
                <w:szCs w:val="21"/>
                <w:highlight w:val="none"/>
                <w:lang w:val="en-US" w:eastAsia="zh-CN"/>
              </w:rPr>
              <w:t>（提供承诺书加盖公章，提供承诺的得</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pPr>
              <w:numPr>
                <w:ilvl w:val="0"/>
                <w:numId w:val="6"/>
              </w:numPr>
              <w:rPr>
                <w:rFonts w:hint="default"/>
                <w:color w:val="auto"/>
                <w:highlight w:val="none"/>
                <w:lang w:val="en-US" w:eastAsia="zh-CN"/>
              </w:rPr>
            </w:pPr>
            <w:r>
              <w:rPr>
                <w:rFonts w:hint="eastAsia"/>
                <w:color w:val="auto"/>
                <w:highlight w:val="none"/>
                <w:lang w:val="en-US" w:eastAsia="zh-CN"/>
              </w:rPr>
              <w:t>缺陷责任期满后的维护服务（包含道路及附属设施）收费标准：横向比较，按年度报价，维护费用一旦确认，不可更改，年度维护费用超出承诺标准的，由中标单位支付。且招标人有权选择其他维护单位。维护费用最低的得满分3分，维护费用较少（按低至高排列第二、第三）的得2分；维护费用较少（按低至高排列第四、第五）的得1分；其他不得分，报价一样的并列排名，得分相同。（提供年维护费用报价并加盖投标人公章）</w:t>
            </w:r>
          </w:p>
          <w:p>
            <w:pPr>
              <w:pStyle w:val="14"/>
              <w:spacing w:after="0" w:line="440" w:lineRule="exact"/>
              <w:ind w:left="0" w:leftChars="0" w:firstLine="0" w:firstLineChars="0"/>
              <w:jc w:val="left"/>
              <w:rPr>
                <w:rFonts w:hint="eastAsia" w:ascii="宋体" w:hAnsi="宋体" w:cs="宋体"/>
                <w:color w:val="auto"/>
                <w:szCs w:val="21"/>
                <w:highlight w:val="none"/>
              </w:rPr>
            </w:pPr>
            <w:r>
              <w:rPr>
                <w:rFonts w:hint="eastAsia"/>
                <w:color w:val="auto"/>
                <w:highlight w:val="none"/>
                <w:lang w:val="en-US" w:eastAsia="zh-CN"/>
              </w:rPr>
              <w:t>（3）缺陷责任期满后的维护服务年限（基本年限两年）：投标人提供缺陷责任期满后的维护服务期限每增加一年的加1分，满分3分，增加时间中不足一年的不予计取。</w:t>
            </w:r>
            <w:r>
              <w:rPr>
                <w:rFonts w:hint="eastAsia" w:ascii="宋体" w:hAnsi="宋体" w:eastAsia="宋体" w:cs="宋体"/>
                <w:color w:val="auto"/>
                <w:szCs w:val="21"/>
                <w:highlight w:val="none"/>
                <w:lang w:val="en-US" w:eastAsia="zh-CN"/>
              </w:rPr>
              <w:t>（提供承诺书加盖公章，承诺书中写明</w:t>
            </w:r>
            <w:r>
              <w:rPr>
                <w:rFonts w:hint="eastAsia"/>
                <w:color w:val="auto"/>
                <w:highlight w:val="none"/>
                <w:lang w:val="en-US" w:eastAsia="zh-CN"/>
              </w:rPr>
              <w:t>缺陷责任期满后的维护服务年限</w:t>
            </w:r>
            <w:r>
              <w:rPr>
                <w:rFonts w:hint="eastAsia" w:ascii="宋体" w:hAnsi="宋体" w:eastAsia="宋体" w:cs="宋体"/>
                <w:color w:val="auto"/>
                <w:szCs w:val="21"/>
                <w:highlight w:val="none"/>
                <w:lang w:val="en-US" w:eastAsia="zh-CN"/>
              </w:rPr>
              <w:t>时间；</w:t>
            </w:r>
            <w:r>
              <w:rPr>
                <w:rFonts w:hint="eastAsia" w:hAnsi="宋体" w:cs="宋体"/>
                <w:color w:val="auto"/>
                <w:szCs w:val="21"/>
                <w:highlight w:val="none"/>
                <w:lang w:val="en-US" w:eastAsia="zh-CN"/>
              </w:rPr>
              <w:t>未提供不得分</w:t>
            </w:r>
            <w:r>
              <w:rPr>
                <w:rFonts w:hint="eastAsia" w:ascii="宋体" w:hAnsi="宋体" w:eastAsia="宋体" w:cs="宋体"/>
                <w:color w:val="auto"/>
                <w:szCs w:val="21"/>
                <w:highlight w:val="none"/>
                <w:lang w:val="en-US" w:eastAsia="zh-CN"/>
              </w:rPr>
              <w:t>。）</w:t>
            </w:r>
          </w:p>
        </w:tc>
      </w:tr>
    </w:tbl>
    <w:p>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r>
        <w:rPr>
          <w:rFonts w:hint="eastAsia" w:cs="Times New Roman"/>
          <w:b/>
          <w:color w:val="auto"/>
          <w:sz w:val="28"/>
          <w:szCs w:val="21"/>
          <w:highlight w:val="none"/>
          <w:lang w:val="en-US" w:eastAsia="zh-CN"/>
        </w:rPr>
        <w:t>（50分）</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862"/>
        <w:gridCol w:w="2940"/>
        <w:gridCol w:w="5"/>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08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形式评审标准</w:t>
            </w: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083"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083" w:type="dxa"/>
            <w:gridSpan w:val="2"/>
            <w:noWrap/>
            <w:vAlign w:val="center"/>
          </w:tcPr>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083"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083" w:type="dxa"/>
            <w:gridSpan w:val="2"/>
            <w:noWrap/>
            <w:vAlign w:val="center"/>
          </w:tcPr>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响应性评审标准</w:t>
            </w:r>
          </w:p>
        </w:tc>
        <w:tc>
          <w:tcPr>
            <w:tcW w:w="3802" w:type="dxa"/>
            <w:gridSpan w:val="2"/>
            <w:noWrap/>
            <w:vAlign w:val="center"/>
          </w:tcPr>
          <w:p>
            <w:pPr>
              <w:adjustRightInd w:val="0"/>
              <w:snapToGrid w:val="0"/>
              <w:spacing w:line="560" w:lineRule="exact"/>
              <w:jc w:val="left"/>
              <w:rPr>
                <w:rFonts w:ascii="宋体" w:hAnsi="宋体" w:cs="宋体"/>
                <w:color w:val="auto"/>
                <w:szCs w:val="21"/>
                <w:highlight w:val="none"/>
              </w:rPr>
            </w:pPr>
            <w:r>
              <w:rPr>
                <w:rFonts w:hint="eastAsia" w:ascii="宋体" w:hAnsi="宋体"/>
                <w:color w:val="auto"/>
                <w:szCs w:val="21"/>
                <w:highlight w:val="none"/>
              </w:rPr>
              <w:t>工期</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工程质量</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投标有效期</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已标价工程量清单</w:t>
            </w:r>
          </w:p>
        </w:tc>
        <w:tc>
          <w:tcPr>
            <w:tcW w:w="3083" w:type="dxa"/>
            <w:gridSpan w:val="2"/>
            <w:noWrap/>
            <w:vAlign w:val="center"/>
          </w:tcPr>
          <w:p>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auto"/>
                <w:szCs w:val="21"/>
                <w:highlight w:val="none"/>
              </w:rPr>
              <w:t>投标总价评审</w:t>
            </w:r>
          </w:p>
        </w:tc>
        <w:tc>
          <w:tcPr>
            <w:tcW w:w="3083"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与招标人发布的招标工程量清单一致。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860" w:type="dxa"/>
            <w:gridSpan w:val="2"/>
            <w:vMerge w:val="restart"/>
            <w:noWrap/>
            <w:vAlign w:val="center"/>
          </w:tcPr>
          <w:p>
            <w:pPr>
              <w:spacing w:line="440" w:lineRule="exact"/>
              <w:jc w:val="center"/>
              <w:rPr>
                <w:rFonts w:hint="eastAsia" w:ascii="宋体" w:hAnsi="宋体" w:eastAsia="宋体" w:cs="宋体"/>
                <w:b/>
                <w:bCs/>
                <w:color w:val="auto"/>
                <w:szCs w:val="21"/>
                <w:highlight w:val="none"/>
                <w:lang w:eastAsia="zh-CN"/>
              </w:rPr>
            </w:pPr>
            <w:r>
              <w:rPr>
                <w:rFonts w:hint="eastAsia" w:ascii="宋体" w:hAnsi="宋体"/>
                <w:color w:val="auto"/>
                <w:szCs w:val="21"/>
                <w:highlight w:val="none"/>
              </w:rPr>
              <w:t>详细评审标准</w:t>
            </w: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工程成本评审</w:t>
            </w:r>
          </w:p>
        </w:tc>
        <w:tc>
          <w:tcPr>
            <w:tcW w:w="6023" w:type="dxa"/>
            <w:gridSpan w:val="3"/>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投标报价低于同一工程有效投标报价平均值10%以上。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报价内容完整性</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因投标人原因造成投标报价清单缺漏，缺漏项总额（多算或多报总额不得抵消缺漏项目总额）累计占同一工程</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人工工日单价</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需评审材料数量</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以上，且低于同一工程有效投标报价相应材料消耗量平均值的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施工机具使用费</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施工机具使用费低于同一工程有效投标报价施工机具使用费平均值的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管理费和利润费率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无效报价</w:t>
            </w: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暂估价材料、设备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不可竞争项目费费率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低于建标〔2021〕42号文规定的费率。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税率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商务评分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bCs/>
                <w:color w:val="auto"/>
                <w:szCs w:val="21"/>
                <w:highlight w:val="none"/>
                <w:lang w:val="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4752" w:type="dxa"/>
            <w:gridSpan w:val="4"/>
            <w:noWrap/>
            <w:vAlign w:val="center"/>
          </w:tcPr>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一、报价偏差率计算。</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偏差率=|（投标报价-评标基准价）/评标基准价|×100%</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二、报价得分计算。</w:t>
            </w:r>
          </w:p>
          <w:p>
            <w:pPr>
              <w:pStyle w:val="14"/>
              <w:adjustRightInd w:val="0"/>
              <w:snapToGrid w:val="0"/>
              <w:spacing w:after="0" w:line="56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①投标报价高于评标基准价的，投标报价得分=报价满分值-偏差率×100×1</w:t>
            </w:r>
          </w:p>
          <w:p>
            <w:pPr>
              <w:pStyle w:val="14"/>
              <w:adjustRightInd w:val="0"/>
              <w:snapToGrid w:val="0"/>
              <w:spacing w:after="0" w:line="560" w:lineRule="exact"/>
              <w:ind w:left="0" w:leftChars="0" w:firstLine="0" w:firstLineChars="0"/>
              <w:jc w:val="left"/>
              <w:rPr>
                <w:rFonts w:hAnsi="宋体"/>
                <w:color w:val="auto"/>
                <w:szCs w:val="21"/>
                <w:highlight w:val="none"/>
              </w:rPr>
            </w:pPr>
            <w:r>
              <w:rPr>
                <w:rFonts w:hint="eastAsia" w:hAnsi="宋体"/>
                <w:color w:val="auto"/>
                <w:szCs w:val="21"/>
                <w:highlight w:val="none"/>
              </w:rPr>
              <w:t>②投标报价低于评标基准价的，投标报价得分=报价满分值-偏差率×100×0.5</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pPr>
              <w:adjustRightInd w:val="0"/>
              <w:snapToGrid w:val="0"/>
              <w:spacing w:line="560" w:lineRule="exact"/>
              <w:rPr>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078" w:type="dxa"/>
            <w:noWrap/>
            <w:vAlign w:val="center"/>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pPr>
              <w:adjustRightInd w:val="0"/>
              <w:snapToGrid w:val="0"/>
              <w:spacing w:line="560" w:lineRule="exact"/>
              <w:rPr>
                <w:rFonts w:hint="eastAsia" w:ascii="宋体" w:hAnsi="宋体"/>
                <w:color w:val="auto"/>
                <w:szCs w:val="21"/>
                <w:highlight w:val="none"/>
                <w:lang w:val="en-US" w:eastAsia="zh-CN"/>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bookmarkStart w:id="746" w:name="_Toc152045589"/>
      <w:bookmarkStart w:id="747" w:name="_Toc6491"/>
      <w:bookmarkStart w:id="748" w:name="_Toc246996975"/>
      <w:bookmarkStart w:id="749" w:name="_Toc144974556"/>
      <w:bookmarkStart w:id="750" w:name="_Toc246996232"/>
      <w:bookmarkStart w:id="751" w:name="_Toc152042366"/>
      <w:bookmarkStart w:id="752" w:name="_Toc506107324"/>
      <w:bookmarkStart w:id="753" w:name="_Toc35424947"/>
      <w:bookmarkStart w:id="754" w:name="_Toc324404872"/>
      <w:bookmarkStart w:id="755" w:name="_Toc247085747"/>
      <w:bookmarkStart w:id="756" w:name="_Toc179632607"/>
      <w:bookmarkStart w:id="757" w:name="_Toc78803381"/>
      <w:bookmarkStart w:id="758" w:name="_Toc15058913"/>
      <w:bookmarkStart w:id="759" w:name="_Toc35425113"/>
      <w:r>
        <w:rPr>
          <w:rFonts w:hint="eastAsia" w:ascii="宋体" w:hAnsi="宋体" w:cs="宋体"/>
          <w:color w:val="auto"/>
          <w:szCs w:val="21"/>
          <w:highlight w:val="none"/>
          <w:lang w:eastAsia="zh-CN"/>
        </w:rPr>
        <w:t>商务标评审表注：</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w:t>
      </w:r>
      <w:r>
        <w:rPr>
          <w:rFonts w:hint="eastAsia" w:ascii="宋体" w:hAnsi="宋体" w:cs="宋体"/>
          <w:b/>
          <w:bCs/>
          <w:color w:val="auto"/>
          <w:szCs w:val="21"/>
          <w:highlight w:val="none"/>
          <w:lang w:eastAsia="zh-CN"/>
        </w:rPr>
        <w:t>其中J=</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eastAsia="zh-CN"/>
        </w:rPr>
        <w:t xml:space="preserve">），则商务标不得分，且该投标报价不参与B值计算。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（2）只有通过详细评审的有效投标人才能参加商务报价评分。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（4）B值计算方法：计算范围内有效投标人报价的算术平均值。</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0" w:name="_Toc35424948"/>
      <w:bookmarkStart w:id="761" w:name="_Toc506107325"/>
      <w:bookmarkStart w:id="762" w:name="_Toc11945"/>
      <w:bookmarkStart w:id="763" w:name="_Toc15058914"/>
      <w:bookmarkStart w:id="764" w:name="_Toc324404873"/>
      <w:bookmarkStart w:id="765" w:name="_Toc78803382"/>
      <w:bookmarkStart w:id="766" w:name="_Toc35425114"/>
      <w:bookmarkStart w:id="767" w:name="_Toc247085748"/>
      <w:bookmarkStart w:id="768" w:name="_Toc152042367"/>
      <w:bookmarkStart w:id="769" w:name="_Toc246996976"/>
      <w:bookmarkStart w:id="770" w:name="_Toc246996233"/>
      <w:bookmarkStart w:id="771" w:name="_Toc152045590"/>
      <w:bookmarkStart w:id="772" w:name="_Toc144974557"/>
      <w:bookmarkStart w:id="773" w:name="_Toc179632608"/>
      <w:bookmarkStart w:id="774" w:name="_Toc296602478"/>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0"/>
      <w:bookmarkEnd w:id="761"/>
      <w:bookmarkEnd w:id="762"/>
      <w:bookmarkEnd w:id="763"/>
      <w:bookmarkEnd w:id="764"/>
      <w:bookmarkEnd w:id="765"/>
      <w:bookmarkEnd w:id="76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5" w:name="_Toc35424949"/>
      <w:bookmarkStart w:id="776" w:name="_Toc15058915"/>
      <w:bookmarkStart w:id="777" w:name="_Toc17377"/>
      <w:bookmarkStart w:id="778" w:name="_Toc506107326"/>
      <w:bookmarkStart w:id="779" w:name="_Toc324404874"/>
      <w:bookmarkStart w:id="780" w:name="_Toc78803384"/>
      <w:bookmarkStart w:id="781"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5"/>
      <w:bookmarkEnd w:id="776"/>
      <w:bookmarkEnd w:id="777"/>
      <w:bookmarkEnd w:id="778"/>
      <w:bookmarkEnd w:id="779"/>
      <w:bookmarkEnd w:id="780"/>
      <w:bookmarkEnd w:id="78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2" w:name="_Toc15058916"/>
      <w:bookmarkStart w:id="783" w:name="_Toc27389"/>
      <w:bookmarkStart w:id="784" w:name="_Toc78803385"/>
      <w:bookmarkStart w:id="785" w:name="_Toc35425116"/>
      <w:bookmarkStart w:id="786" w:name="_Toc35424950"/>
      <w:r>
        <w:rPr>
          <w:rFonts w:hint="eastAsia" w:ascii="宋体" w:hAnsi="宋体" w:eastAsia="宋体" w:cs="宋体"/>
          <w:color w:val="auto"/>
          <w:highlight w:val="none"/>
        </w:rPr>
        <w:t>3.1评标准备工作</w:t>
      </w:r>
      <w:bookmarkEnd w:id="782"/>
      <w:bookmarkEnd w:id="783"/>
      <w:bookmarkEnd w:id="784"/>
      <w:bookmarkEnd w:id="785"/>
      <w:bookmarkEnd w:id="78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7" w:name="_Toc1299"/>
      <w:bookmarkStart w:id="788" w:name="_Toc35424951"/>
      <w:bookmarkStart w:id="789" w:name="_Toc78803386"/>
      <w:bookmarkStart w:id="790" w:name="_Toc15058917"/>
      <w:bookmarkStart w:id="791" w:name="_Toc35425117"/>
      <w:bookmarkStart w:id="792" w:name="_Toc24650"/>
      <w:bookmarkStart w:id="793" w:name="_Toc15058919"/>
      <w:bookmarkStart w:id="794" w:name="_Toc35424954"/>
      <w:bookmarkStart w:id="795" w:name="_Toc12200"/>
      <w:bookmarkStart w:id="796" w:name="_Toc35425120"/>
      <w:bookmarkStart w:id="797" w:name="_Toc506107327"/>
      <w:bookmarkStart w:id="798" w:name="_Toc324404875"/>
      <w:r>
        <w:rPr>
          <w:rFonts w:hint="eastAsia" w:ascii="宋体" w:hAnsi="宋体" w:eastAsia="宋体" w:cs="宋体"/>
          <w:color w:val="auto"/>
          <w:highlight w:val="none"/>
        </w:rPr>
        <w:t>3.2技术标评审</w:t>
      </w:r>
      <w:bookmarkEnd w:id="787"/>
      <w:bookmarkEnd w:id="788"/>
      <w:bookmarkEnd w:id="789"/>
      <w:bookmarkEnd w:id="790"/>
      <w:bookmarkEnd w:id="791"/>
      <w:bookmarkEnd w:id="792"/>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99" w:name="_Toc15058918"/>
      <w:bookmarkStart w:id="800" w:name="_Toc17468"/>
      <w:bookmarkStart w:id="801" w:name="_Toc35424952"/>
      <w:bookmarkStart w:id="802" w:name="_Toc35425118"/>
      <w:bookmarkStart w:id="803" w:name="_Toc11990"/>
      <w:bookmarkStart w:id="804" w:name="_Toc78803387"/>
      <w:r>
        <w:rPr>
          <w:rFonts w:hint="eastAsia" w:ascii="宋体" w:hAnsi="宋体" w:eastAsia="宋体" w:cs="宋体"/>
          <w:color w:val="auto"/>
          <w:highlight w:val="none"/>
        </w:rPr>
        <w:t>3.3商务标评审</w:t>
      </w:r>
      <w:bookmarkEnd w:id="799"/>
      <w:bookmarkEnd w:id="800"/>
      <w:bookmarkEnd w:id="801"/>
      <w:bookmarkEnd w:id="802"/>
      <w:bookmarkEnd w:id="803"/>
      <w:bookmarkEnd w:id="804"/>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pPr>
        <w:pageBreakBefore w:val="0"/>
        <w:widowControl w:val="0"/>
        <w:kinsoku/>
        <w:wordWrap/>
        <w:overflowPunct/>
        <w:topLinePunct w:val="0"/>
        <w:autoSpaceDE/>
        <w:autoSpaceDN/>
        <w:bidi w:val="0"/>
        <w:spacing w:line="400" w:lineRule="exact"/>
        <w:ind w:firstLine="422" w:firstLineChars="200"/>
        <w:jc w:val="left"/>
        <w:textAlignment w:val="auto"/>
        <w:rPr>
          <w:rStyle w:val="198"/>
          <w:rFonts w:hint="eastAsia" w:ascii="宋体" w:hAnsi="宋体" w:eastAsia="宋体" w:cs="宋体"/>
          <w:color w:val="auto"/>
          <w:highlight w:val="none"/>
        </w:rPr>
      </w:pPr>
      <w:bookmarkStart w:id="805" w:name="_Toc18087"/>
      <w:bookmarkStart w:id="806" w:name="_Toc35425119"/>
      <w:bookmarkStart w:id="807" w:name="_Toc26895"/>
      <w:bookmarkStart w:id="808" w:name="_Toc35424953"/>
      <w:bookmarkStart w:id="809" w:name="_Toc78803388"/>
      <w:r>
        <w:rPr>
          <w:rStyle w:val="198"/>
          <w:rFonts w:hint="eastAsia" w:ascii="宋体" w:hAnsi="宋体" w:eastAsia="宋体" w:cs="宋体"/>
          <w:color w:val="auto"/>
          <w:highlight w:val="none"/>
        </w:rPr>
        <w:t>3.4推荐中标候选人</w:t>
      </w:r>
      <w:bookmarkEnd w:id="805"/>
      <w:bookmarkEnd w:id="806"/>
      <w:bookmarkEnd w:id="807"/>
      <w:bookmarkEnd w:id="808"/>
      <w:bookmarkEnd w:id="809"/>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0" w:name="_Toc78803389"/>
      <w:r>
        <w:rPr>
          <w:rFonts w:hint="eastAsia" w:ascii="宋体" w:hAnsi="宋体" w:eastAsia="宋体" w:cs="宋体"/>
          <w:color w:val="auto"/>
          <w:highlight w:val="none"/>
        </w:rPr>
        <w:t>4.评审内容</w:t>
      </w:r>
      <w:bookmarkEnd w:id="793"/>
      <w:bookmarkEnd w:id="794"/>
      <w:bookmarkEnd w:id="795"/>
      <w:bookmarkEnd w:id="796"/>
      <w:bookmarkEnd w:id="797"/>
      <w:bookmarkEnd w:id="798"/>
      <w:bookmarkEnd w:id="810"/>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1" w:name="_Toc9630"/>
      <w:bookmarkStart w:id="812" w:name="_Toc78803390"/>
      <w:r>
        <w:rPr>
          <w:rFonts w:hint="eastAsia" w:ascii="宋体" w:hAnsi="宋体" w:eastAsia="宋体" w:cs="宋体"/>
          <w:color w:val="auto"/>
          <w:highlight w:val="none"/>
        </w:rPr>
        <w:t>4.1</w:t>
      </w:r>
      <w:bookmarkEnd w:id="811"/>
      <w:bookmarkEnd w:id="812"/>
      <w:bookmarkStart w:id="813" w:name="_Toc3531"/>
      <w:bookmarkStart w:id="814" w:name="_Toc35424956"/>
      <w:bookmarkStart w:id="815" w:name="_Toc35425122"/>
      <w:bookmarkStart w:id="816" w:name="_Toc15058921"/>
      <w:bookmarkStart w:id="817" w:name="_Toc78803391"/>
      <w:bookmarkStart w:id="818" w:name="_Toc324404876"/>
      <w:r>
        <w:rPr>
          <w:rFonts w:hint="eastAsia" w:ascii="宋体" w:hAnsi="宋体" w:eastAsia="宋体" w:cs="宋体"/>
          <w:color w:val="auto"/>
          <w:highlight w:val="none"/>
        </w:rPr>
        <w:t>商务标评审</w:t>
      </w:r>
      <w:bookmarkEnd w:id="813"/>
      <w:bookmarkEnd w:id="814"/>
      <w:bookmarkEnd w:id="815"/>
      <w:bookmarkEnd w:id="816"/>
      <w:bookmarkEnd w:id="817"/>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19" w:name="_Toc78803392"/>
      <w:bookmarkStart w:id="820" w:name="_Toc35425123"/>
      <w:bookmarkStart w:id="821" w:name="_Toc15058922"/>
      <w:bookmarkStart w:id="822" w:name="_Toc35424957"/>
      <w:bookmarkStart w:id="823" w:name="_Toc13125"/>
      <w:bookmarkStart w:id="824" w:name="_Toc506107328"/>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18"/>
      <w:bookmarkEnd w:id="819"/>
      <w:bookmarkEnd w:id="820"/>
      <w:bookmarkEnd w:id="821"/>
      <w:bookmarkEnd w:id="822"/>
      <w:bookmarkEnd w:id="823"/>
      <w:bookmarkEnd w:id="824"/>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w:t>
      </w:r>
      <w:r>
        <w:rPr>
          <w:rFonts w:hint="eastAsia" w:ascii="宋体" w:hAnsi="宋体" w:cs="宋体"/>
          <w:color w:val="auto"/>
          <w:szCs w:val="21"/>
          <w:highlight w:val="none"/>
        </w:rPr>
        <w:t>经评审后其投标作无效投标处理</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5" w:name="_Toc35424958"/>
      <w:bookmarkStart w:id="826" w:name="_Toc27846"/>
      <w:bookmarkStart w:id="827" w:name="_Toc78803393"/>
      <w:bookmarkStart w:id="828" w:name="_Toc324404877"/>
      <w:bookmarkStart w:id="829" w:name="_Toc15058923"/>
      <w:bookmarkStart w:id="830" w:name="_Toc35425124"/>
      <w:bookmarkStart w:id="831" w:name="_Toc506107329"/>
      <w:r>
        <w:rPr>
          <w:rFonts w:hint="eastAsia" w:ascii="宋体" w:hAnsi="宋体" w:eastAsia="宋体" w:cs="宋体"/>
          <w:color w:val="auto"/>
          <w:highlight w:val="none"/>
        </w:rPr>
        <w:t>6.投标文件的澄清和补正</w:t>
      </w:r>
      <w:bookmarkEnd w:id="825"/>
      <w:bookmarkEnd w:id="826"/>
      <w:bookmarkEnd w:id="827"/>
      <w:bookmarkEnd w:id="828"/>
      <w:bookmarkEnd w:id="829"/>
      <w:bookmarkEnd w:id="830"/>
      <w:bookmarkEnd w:id="83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2" w:name="_Toc15058924"/>
      <w:bookmarkStart w:id="833" w:name="_Toc78803394"/>
      <w:bookmarkStart w:id="834" w:name="_Toc506107330"/>
      <w:bookmarkStart w:id="835" w:name="_Toc35424959"/>
      <w:bookmarkStart w:id="836" w:name="_Toc35425125"/>
      <w:bookmarkStart w:id="837" w:name="_Toc13990"/>
      <w:bookmarkStart w:id="838" w:name="_Toc324404878"/>
      <w:r>
        <w:rPr>
          <w:rFonts w:hint="eastAsia" w:ascii="宋体" w:hAnsi="宋体" w:eastAsia="宋体" w:cs="宋体"/>
          <w:color w:val="auto"/>
          <w:highlight w:val="none"/>
        </w:rPr>
        <w:t>7.评分标准</w:t>
      </w:r>
      <w:bookmarkEnd w:id="832"/>
      <w:bookmarkEnd w:id="833"/>
      <w:bookmarkEnd w:id="834"/>
      <w:bookmarkEnd w:id="835"/>
      <w:bookmarkEnd w:id="836"/>
      <w:bookmarkEnd w:id="837"/>
      <w:bookmarkEnd w:id="838"/>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9" w:name="_Toc35425126"/>
      <w:bookmarkStart w:id="840" w:name="_Toc324404879"/>
      <w:bookmarkStart w:id="841" w:name="_Toc506107331"/>
      <w:bookmarkStart w:id="842" w:name="_Toc22863"/>
      <w:bookmarkStart w:id="843" w:name="_Toc78803395"/>
      <w:bookmarkStart w:id="844" w:name="_Toc15058925"/>
      <w:bookmarkStart w:id="845" w:name="_Toc35424960"/>
      <w:r>
        <w:rPr>
          <w:rFonts w:hint="eastAsia" w:ascii="宋体" w:hAnsi="宋体" w:eastAsia="宋体" w:cs="宋体"/>
          <w:color w:val="auto"/>
          <w:highlight w:val="none"/>
        </w:rPr>
        <w:t>8.评审结果</w:t>
      </w:r>
      <w:bookmarkEnd w:id="839"/>
      <w:bookmarkEnd w:id="840"/>
      <w:bookmarkEnd w:id="841"/>
      <w:bookmarkEnd w:id="842"/>
      <w:bookmarkEnd w:id="843"/>
      <w:bookmarkEnd w:id="844"/>
      <w:bookmarkEnd w:id="845"/>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6" w:name="_Toc324404880"/>
      <w:bookmarkStart w:id="847" w:name="_Toc1576"/>
      <w:bookmarkStart w:id="848" w:name="_Toc506107332"/>
      <w:bookmarkStart w:id="849" w:name="_Toc15058926"/>
      <w:bookmarkStart w:id="850" w:name="_Toc78803396"/>
      <w:bookmarkStart w:id="851" w:name="_Toc35424961"/>
      <w:bookmarkStart w:id="852" w:name="_Toc35425127"/>
      <w:r>
        <w:rPr>
          <w:rFonts w:hint="eastAsia" w:ascii="宋体" w:hAnsi="宋体" w:eastAsia="宋体" w:cs="宋体"/>
          <w:color w:val="auto"/>
          <w:highlight w:val="none"/>
        </w:rPr>
        <w:t>9.其他</w:t>
      </w:r>
      <w:bookmarkEnd w:id="846"/>
      <w:bookmarkEnd w:id="847"/>
      <w:bookmarkEnd w:id="848"/>
      <w:bookmarkEnd w:id="849"/>
      <w:bookmarkEnd w:id="850"/>
      <w:bookmarkEnd w:id="851"/>
      <w:bookmarkEnd w:id="852"/>
    </w:p>
    <w:bookmarkEnd w:id="767"/>
    <w:bookmarkEnd w:id="768"/>
    <w:bookmarkEnd w:id="769"/>
    <w:bookmarkEnd w:id="770"/>
    <w:bookmarkEnd w:id="771"/>
    <w:bookmarkEnd w:id="772"/>
    <w:bookmarkEnd w:id="773"/>
    <w:bookmarkEnd w:id="774"/>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3" w:name="_Toc506107333"/>
      <w:bookmarkStart w:id="854" w:name="_Toc35424962"/>
      <w:bookmarkStart w:id="855" w:name="_Toc35425128"/>
      <w:bookmarkStart w:id="856" w:name="_Toc15058927"/>
      <w:bookmarkStart w:id="857" w:name="_Toc152045767"/>
      <w:bookmarkStart w:id="858" w:name="_Toc152042546"/>
      <w:bookmarkStart w:id="859" w:name="_Toc179632785"/>
      <w:bookmarkStart w:id="860"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pPr>
        <w:rPr>
          <w:color w:val="auto"/>
          <w:highlight w:val="none"/>
        </w:rPr>
      </w:pPr>
    </w:p>
    <w:p>
      <w:pPr>
        <w:rPr>
          <w:rFonts w:hint="eastAsia"/>
          <w:color w:val="auto"/>
          <w:highlight w:val="none"/>
        </w:rPr>
      </w:pPr>
      <w:r>
        <w:rPr>
          <w:rFonts w:hint="eastAsia"/>
          <w:color w:val="auto"/>
          <w:highlight w:val="none"/>
        </w:rPr>
        <w:br w:type="page"/>
      </w:r>
      <w:bookmarkStart w:id="861" w:name="_Toc78803397"/>
    </w:p>
    <w:bookmarkEnd w:id="853"/>
    <w:bookmarkEnd w:id="854"/>
    <w:bookmarkEnd w:id="855"/>
    <w:bookmarkEnd w:id="856"/>
    <w:bookmarkEnd w:id="861"/>
    <w:p>
      <w:pPr>
        <w:pStyle w:val="3"/>
        <w:rPr>
          <w:rFonts w:hint="eastAsia" w:ascii="Arial" w:hAnsi="Arial"/>
          <w:color w:val="auto"/>
          <w:kern w:val="0"/>
          <w:sz w:val="32"/>
          <w:szCs w:val="32"/>
          <w:highlight w:val="none"/>
        </w:rPr>
      </w:pPr>
      <w:bookmarkStart w:id="862" w:name="_Toc16721"/>
    </w:p>
    <w:p>
      <w:pPr>
        <w:pStyle w:val="3"/>
        <w:rPr>
          <w:color w:val="auto"/>
          <w:highlight w:val="none"/>
        </w:rPr>
      </w:pPr>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2"/>
    </w:p>
    <w:p>
      <w:pPr>
        <w:spacing w:line="360" w:lineRule="auto"/>
        <w:jc w:val="center"/>
        <w:rPr>
          <w:rFonts w:ascii="仿宋_GB2312" w:eastAsia="仿宋_GB2312"/>
          <w:b/>
          <w:color w:val="auto"/>
          <w:sz w:val="28"/>
          <w:szCs w:val="28"/>
          <w:highlight w:val="none"/>
        </w:rPr>
      </w:pPr>
    </w:p>
    <w:p>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w:t>
      </w:r>
      <w:r>
        <w:rPr>
          <w:rFonts w:hint="eastAsia" w:eastAsia="仿宋_GB2312"/>
          <w:bCs/>
          <w:color w:val="auto"/>
          <w:sz w:val="32"/>
          <w:szCs w:val="32"/>
          <w:highlight w:val="none"/>
          <w:u w:val="single"/>
          <w:lang w:val="en-US" w:eastAsia="zh-CN"/>
        </w:rPr>
        <w:t xml:space="preserve"> </w:t>
      </w:r>
      <w:r>
        <w:rPr>
          <w:rFonts w:hint="eastAsia" w:eastAsia="仿宋_GB2312"/>
          <w:bCs/>
          <w:color w:val="auto"/>
          <w:sz w:val="32"/>
          <w:szCs w:val="32"/>
          <w:highlight w:val="none"/>
          <w:u w:val="single"/>
        </w:rPr>
        <w:t>）</w:t>
      </w:r>
    </w:p>
    <w:p>
      <w:pPr>
        <w:adjustRightInd w:val="0"/>
        <w:snapToGrid w:val="0"/>
        <w:spacing w:line="560" w:lineRule="exact"/>
        <w:jc w:val="center"/>
        <w:rPr>
          <w:rFonts w:eastAsia="华文中宋"/>
          <w:b/>
          <w:color w:val="auto"/>
          <w:sz w:val="52"/>
          <w:szCs w:val="52"/>
          <w:highlight w:val="none"/>
        </w:rPr>
      </w:pPr>
    </w:p>
    <w:p>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63" w:name="_Toc60061567"/>
    </w:p>
    <w:p>
      <w:pPr>
        <w:adjustRightInd w:val="0"/>
        <w:snapToGrid w:val="0"/>
        <w:spacing w:line="560" w:lineRule="exact"/>
        <w:jc w:val="center"/>
        <w:rPr>
          <w:rFonts w:eastAsia="华文中宋"/>
          <w:b/>
          <w:color w:val="auto"/>
          <w:sz w:val="52"/>
          <w:szCs w:val="52"/>
          <w:highlight w:val="none"/>
        </w:rPr>
      </w:pPr>
    </w:p>
    <w:p>
      <w:pPr>
        <w:adjustRightInd w:val="0"/>
        <w:snapToGrid w:val="0"/>
        <w:spacing w:line="560" w:lineRule="exact"/>
        <w:jc w:val="center"/>
        <w:rPr>
          <w:rFonts w:eastAsia="黑体"/>
          <w:b/>
          <w:color w:val="auto"/>
          <w:sz w:val="72"/>
          <w:szCs w:val="72"/>
          <w:highlight w:val="none"/>
        </w:rPr>
      </w:pPr>
    </w:p>
    <w:p>
      <w:pPr>
        <w:adjustRightInd w:val="0"/>
        <w:snapToGrid w:val="0"/>
        <w:spacing w:line="560" w:lineRule="exact"/>
        <w:jc w:val="center"/>
        <w:rPr>
          <w:rFonts w:hint="eastAsia" w:ascii="宋体" w:hAnsi="宋体" w:cs="宋体"/>
          <w:b/>
          <w:color w:val="auto"/>
          <w:sz w:val="54"/>
          <w:szCs w:val="72"/>
          <w:highlight w:val="none"/>
        </w:rPr>
      </w:pPr>
    </w:p>
    <w:p>
      <w:pPr>
        <w:pStyle w:val="14"/>
        <w:rPr>
          <w:color w:val="auto"/>
          <w:highlight w:val="none"/>
        </w:rPr>
      </w:pPr>
    </w:p>
    <w:p>
      <w:pPr>
        <w:adjustRightInd w:val="0"/>
        <w:snapToGrid w:val="0"/>
        <w:spacing w:line="560" w:lineRule="exact"/>
        <w:jc w:val="center"/>
        <w:rPr>
          <w:rFonts w:eastAsia="黑体"/>
          <w:b/>
          <w:color w:val="auto"/>
          <w:sz w:val="52"/>
          <w:szCs w:val="52"/>
          <w:highlight w:val="none"/>
        </w:rPr>
      </w:pPr>
    </w:p>
    <w:p>
      <w:pPr>
        <w:adjustRightInd w:val="0"/>
        <w:snapToGrid w:val="0"/>
        <w:spacing w:line="560" w:lineRule="exact"/>
        <w:rPr>
          <w:b/>
          <w:color w:val="auto"/>
          <w:sz w:val="28"/>
          <w:szCs w:val="28"/>
          <w:highlight w:val="none"/>
        </w:rPr>
      </w:pPr>
    </w:p>
    <w:p>
      <w:pPr>
        <w:adjustRightInd w:val="0"/>
        <w:snapToGrid w:val="0"/>
        <w:spacing w:line="560" w:lineRule="exact"/>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jc w:val="center"/>
        <w:rPr>
          <w:color w:val="auto"/>
          <w:highlight w:val="none"/>
        </w:rPr>
      </w:pPr>
    </w:p>
    <w:p>
      <w:pPr>
        <w:spacing w:line="360" w:lineRule="auto"/>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none"/>
          <w:lang w:val="en-US" w:eastAsia="zh-CN"/>
        </w:rPr>
        <w:t>发  包  人</w:t>
      </w:r>
      <w:r>
        <w:rPr>
          <w:rFonts w:hint="eastAsia" w:ascii="宋体" w:hAnsi="宋体" w:cs="宋体"/>
          <w:b/>
          <w:color w:val="auto"/>
          <w:sz w:val="24"/>
          <w:highlight w:val="none"/>
          <w:u w:val="none"/>
        </w:rPr>
        <w:t>（全称）：</w:t>
      </w:r>
      <w:r>
        <w:rPr>
          <w:rFonts w:hint="eastAsia" w:ascii="宋体" w:hAnsi="宋体" w:cs="宋体"/>
          <w:b/>
          <w:color w:val="auto"/>
          <w:sz w:val="24"/>
          <w:highlight w:val="none"/>
          <w:u w:val="single"/>
          <w:lang w:val="en-US" w:eastAsia="zh-CN"/>
        </w:rPr>
        <w:t>安徽巢东矿业高新材料有限责任公司</w:t>
      </w:r>
    </w:p>
    <w:p>
      <w:pPr>
        <w:jc w:val="both"/>
        <w:rPr>
          <w:rFonts w:hint="eastAsia" w:ascii="宋体" w:hAnsi="宋体" w:cs="宋体"/>
          <w:b/>
          <w:color w:val="auto"/>
          <w:sz w:val="24"/>
          <w:highlight w:val="none"/>
          <w:u w:val="single"/>
        </w:rPr>
      </w:pP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承</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包</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人（全称）：</w:t>
      </w:r>
      <w:r>
        <w:rPr>
          <w:rFonts w:hint="eastAsia" w:ascii="宋体" w:hAnsi="宋体" w:cs="宋体"/>
          <w:b/>
          <w:color w:val="auto"/>
          <w:sz w:val="24"/>
          <w:highlight w:val="none"/>
          <w:u w:val="single"/>
        </w:rPr>
        <w:t xml:space="preserve">                  </w:t>
      </w:r>
    </w:p>
    <w:p>
      <w:pPr>
        <w:pStyle w:val="14"/>
        <w:rPr>
          <w:rFonts w:hint="eastAsia"/>
          <w:color w:val="auto"/>
          <w:highlight w:val="none"/>
        </w:rPr>
      </w:pPr>
    </w:p>
    <w:p>
      <w:pPr>
        <w:jc w:val="center"/>
        <w:rPr>
          <w:rFonts w:hint="default" w:eastAsia="宋体"/>
          <w:b/>
          <w:color w:val="auto"/>
          <w:sz w:val="28"/>
          <w:szCs w:val="28"/>
          <w:highlight w:val="none"/>
          <w:lang w:val="en-US" w:eastAsia="zh-CN"/>
        </w:rPr>
      </w:pPr>
      <w:r>
        <w:rPr>
          <w:rFonts w:hint="eastAsia"/>
          <w:b/>
          <w:color w:val="auto"/>
          <w:sz w:val="28"/>
          <w:szCs w:val="28"/>
          <w:highlight w:val="none"/>
          <w:lang w:val="en-US" w:eastAsia="zh-CN"/>
        </w:rPr>
        <w:t>2024年  月  日</w:t>
      </w:r>
    </w:p>
    <w:p>
      <w:pPr>
        <w:pStyle w:val="14"/>
        <w:rPr>
          <w:b/>
          <w:color w:val="auto"/>
          <w:sz w:val="28"/>
          <w:szCs w:val="28"/>
          <w:highlight w:val="none"/>
        </w:rPr>
      </w:pPr>
    </w:p>
    <w:p>
      <w:pPr>
        <w:rPr>
          <w:b/>
          <w:color w:val="auto"/>
          <w:sz w:val="28"/>
          <w:szCs w:val="28"/>
          <w:highlight w:val="none"/>
        </w:rPr>
      </w:pPr>
    </w:p>
    <w:p>
      <w:pPr>
        <w:pStyle w:val="14"/>
        <w:rPr>
          <w:color w:val="auto"/>
          <w:highlight w:val="none"/>
        </w:rPr>
      </w:pPr>
    </w:p>
    <w:p>
      <w:pPr>
        <w:pStyle w:val="14"/>
        <w:rPr>
          <w:color w:val="auto"/>
          <w:highlight w:val="none"/>
        </w:rPr>
      </w:pPr>
    </w:p>
    <w:p>
      <w:pPr>
        <w:adjustRightInd w:val="0"/>
        <w:snapToGrid w:val="0"/>
        <w:spacing w:line="560" w:lineRule="exact"/>
        <w:rPr>
          <w:b/>
          <w:color w:val="auto"/>
          <w:sz w:val="28"/>
          <w:szCs w:val="28"/>
          <w:highlight w:val="none"/>
        </w:rPr>
      </w:pPr>
    </w:p>
    <w:bookmarkEnd w:id="863"/>
    <w:p>
      <w:pPr>
        <w:rPr>
          <w:rFonts w:hint="eastAsia"/>
          <w:color w:val="auto"/>
          <w:highlight w:val="none"/>
        </w:rPr>
      </w:pPr>
      <w:r>
        <w:rPr>
          <w:rFonts w:hint="eastAsia"/>
          <w:color w:val="auto"/>
          <w:highlight w:val="none"/>
        </w:rPr>
        <w:br w:type="page"/>
      </w:r>
    </w:p>
    <w:p>
      <w:pPr>
        <w:keepNext/>
        <w:keepLines/>
        <w:spacing w:line="360" w:lineRule="auto"/>
        <w:jc w:val="center"/>
        <w:outlineLvl w:val="1"/>
        <w:rPr>
          <w:rFonts w:hint="eastAsia" w:ascii="宋体" w:hAnsi="宋体" w:cs="宋体"/>
          <w:b/>
          <w:bCs/>
          <w:color w:val="auto"/>
          <w:sz w:val="32"/>
          <w:szCs w:val="32"/>
          <w:highlight w:val="none"/>
        </w:rPr>
      </w:pPr>
      <w:bookmarkStart w:id="864" w:name="_Toc28799376"/>
      <w:bookmarkStart w:id="865" w:name="_Toc3977"/>
      <w:bookmarkStart w:id="866" w:name="_Toc95223459"/>
      <w:bookmarkStart w:id="867" w:name="_Toc2308"/>
      <w:bookmarkStart w:id="868" w:name="_Toc29801"/>
      <w:r>
        <w:rPr>
          <w:rFonts w:hint="eastAsia" w:ascii="宋体" w:hAnsi="宋体" w:cs="宋体"/>
          <w:b/>
          <w:bCs/>
          <w:color w:val="auto"/>
          <w:sz w:val="32"/>
          <w:szCs w:val="32"/>
          <w:highlight w:val="none"/>
        </w:rPr>
        <w:t>第一节  合同协议书</w:t>
      </w:r>
      <w:bookmarkEnd w:id="864"/>
      <w:bookmarkEnd w:id="865"/>
      <w:bookmarkEnd w:id="866"/>
    </w:p>
    <w:p>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安徽巢东矿业高新材料有限责任公司</w:t>
      </w:r>
    </w:p>
    <w:p>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  </w:t>
      </w:r>
    </w:p>
    <w:p>
      <w:pPr>
        <w:spacing w:line="360" w:lineRule="auto"/>
        <w:ind w:firstLine="420" w:firstLineChars="200"/>
        <w:rPr>
          <w:rFonts w:hint="eastAsia" w:ascii="宋体" w:hAnsi="宋体" w:cs="宋体"/>
          <w:color w:val="auto"/>
          <w:szCs w:val="21"/>
          <w:highlight w:val="none"/>
          <w:u w:val="single"/>
        </w:rPr>
      </w:pP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lang w:eastAsia="zh-CN"/>
        </w:rPr>
        <w:t>巢东矿业环山路延伸及道路附属</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69" w:name="_Toc351203481"/>
    </w:p>
    <w:p>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69"/>
    </w:p>
    <w:p>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u w:val="single"/>
          <w:lang w:eastAsia="zh-CN"/>
        </w:rPr>
        <w:t>巢东矿业环山路延伸及道路附属</w:t>
      </w:r>
      <w:r>
        <w:rPr>
          <w:rFonts w:hint="eastAsia" w:ascii="宋体" w:hAnsi="宋体" w:eastAsia="宋体" w:cs="宋体"/>
          <w:color w:val="auto"/>
          <w:szCs w:val="21"/>
          <w:highlight w:val="none"/>
          <w:u w:val="single"/>
        </w:rPr>
        <w:t>工程</w:t>
      </w:r>
      <w:r>
        <w:rPr>
          <w:rFonts w:hint="eastAsia" w:ascii="宋体" w:hAnsi="宋体" w:cs="宋体"/>
          <w:color w:val="auto"/>
          <w:szCs w:val="21"/>
          <w:highlight w:val="none"/>
          <w:u w:val="single"/>
        </w:rPr>
        <w:t>。</w:t>
      </w:r>
    </w:p>
    <w:p>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ascii="宋体" w:hAnsi="宋体" w:cs="宋体"/>
          <w:bCs/>
          <w:color w:val="auto"/>
          <w:szCs w:val="21"/>
          <w:highlight w:val="none"/>
          <w:u w:val="none"/>
        </w:rPr>
        <w:t>：</w:t>
      </w:r>
      <w:r>
        <w:rPr>
          <w:rFonts w:hint="eastAsia" w:hAnsi="宋体" w:cs="宋体"/>
          <w:color w:val="auto"/>
          <w:szCs w:val="21"/>
          <w:highlight w:val="none"/>
          <w:u w:val="none"/>
          <w:lang w:val="en-US" w:eastAsia="zh-CN"/>
        </w:rPr>
        <w:t>明光市涧溪镇姚郭村村委会向东约2KM</w:t>
      </w:r>
      <w:r>
        <w:rPr>
          <w:rFonts w:hint="eastAsia" w:ascii="宋体" w:hAnsi="宋体" w:cs="宋体"/>
          <w:color w:val="auto"/>
          <w:szCs w:val="21"/>
          <w:highlight w:val="none"/>
          <w:u w:val="none"/>
        </w:rPr>
        <w:t>。</w:t>
      </w:r>
    </w:p>
    <w:p>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3.资金来源：</w:t>
      </w:r>
      <w:r>
        <w:rPr>
          <w:rFonts w:hint="eastAsia" w:ascii="宋体" w:hAnsi="宋体" w:eastAsia="宋体" w:cs="宋体"/>
          <w:color w:val="auto"/>
          <w:sz w:val="21"/>
          <w:szCs w:val="21"/>
          <w:highlight w:val="none"/>
          <w:lang w:val="en-US" w:eastAsia="zh-CN"/>
        </w:rPr>
        <w:t>自筹资金</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原3.83KM环山道路延伸建设、地磅、洗车机采购安装、原3.83KM环山道路护栏采购安装</w:t>
      </w:r>
      <w:r>
        <w:rPr>
          <w:rFonts w:hint="eastAsia" w:ascii="宋体" w:hAnsi="宋体" w:cs="宋体"/>
          <w:bCs/>
          <w:color w:val="auto"/>
          <w:szCs w:val="21"/>
          <w:highlight w:val="none"/>
          <w:u w:val="single"/>
        </w:rPr>
        <w:t>。</w:t>
      </w:r>
    </w:p>
    <w:p>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eastAsia="宋体" w:cs="宋体"/>
          <w:color w:val="auto"/>
          <w:kern w:val="2"/>
          <w:sz w:val="21"/>
          <w:szCs w:val="21"/>
          <w:highlight w:val="none"/>
          <w:lang w:val="en-US" w:eastAsia="zh-CN" w:bidi="ar-SA"/>
        </w:rPr>
        <w:t>包括：1.巢东矿业原环山路K0+720预留约50米路基已水稳硬化，路宽8米；安装SCS-200型电子汽车衡及称重系统（详见工程量清单及地磅施工图，地磅长度为18米包含在预留的50米内）地磅出入口剩余部分需铺设C30混凝土，厚240mm（混凝土弯拉强度不小于5.0MPa）；2.巢东矿业原环山路起点向矿山内延伸约45米至巢东矿业已修建的三级沉淀池处，该段道路包含挖填方水稳基础路面等全部道路施工内容（详见工程量清单及道路施工图），此处安装全自动型洗车台，包含基础、水电、护栏等（详见工程量清单及洗车机施工图），在洗车机入口处道路向矿山区内延伸约10米作为洗车机引导路段。3.巢东矿业原3.83km环山路需要增设两侧安全护栏安装（巢东矿业有库存护栏及立柱，库存护栏为原3.83km环山路拆除下来的护栏，部分护栏拆除时已损坏），施工单位需优先使用库存护栏立柱安装，库存不足需采购安装原标准的新护栏立柱，安装新旧护栏立柱单价以中标价为准，工程量最终根据审计结果据实结算。</w:t>
      </w:r>
    </w:p>
    <w:p>
      <w:pPr>
        <w:spacing w:line="360" w:lineRule="auto"/>
        <w:ind w:firstLine="422" w:firstLineChars="200"/>
        <w:rPr>
          <w:rFonts w:hint="eastAsia" w:ascii="宋体" w:hAnsi="宋体" w:cs="宋体"/>
          <w:b/>
          <w:color w:val="auto"/>
          <w:szCs w:val="21"/>
          <w:highlight w:val="none"/>
          <w:u w:val="single"/>
        </w:rPr>
      </w:pPr>
      <w:bookmarkStart w:id="870" w:name="_Toc351203482"/>
      <w:r>
        <w:rPr>
          <w:rFonts w:hint="eastAsia" w:ascii="宋体" w:hAnsi="宋体" w:cs="宋体"/>
          <w:b/>
          <w:color w:val="auto"/>
          <w:szCs w:val="21"/>
          <w:highlight w:val="none"/>
          <w:u w:val="single"/>
        </w:rPr>
        <w:t>二、合同工期</w:t>
      </w:r>
      <w:bookmarkEnd w:id="870"/>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pPr>
        <w:spacing w:line="360" w:lineRule="auto"/>
        <w:ind w:firstLine="422" w:firstLineChars="200"/>
        <w:rPr>
          <w:rFonts w:hint="eastAsia" w:ascii="宋体" w:hAnsi="宋体" w:cs="宋体"/>
          <w:b/>
          <w:color w:val="auto"/>
          <w:szCs w:val="21"/>
          <w:highlight w:val="none"/>
          <w:u w:val="single"/>
        </w:rPr>
      </w:pPr>
      <w:bookmarkStart w:id="871" w:name="_Toc351203483"/>
      <w:r>
        <w:rPr>
          <w:rFonts w:hint="eastAsia" w:ascii="宋体" w:hAnsi="宋体" w:cs="宋体"/>
          <w:b/>
          <w:color w:val="auto"/>
          <w:szCs w:val="21"/>
          <w:highlight w:val="none"/>
          <w:u w:val="single"/>
        </w:rPr>
        <w:t>三、质量标准</w:t>
      </w:r>
      <w:bookmarkEnd w:id="871"/>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pPr>
        <w:spacing w:line="360" w:lineRule="auto"/>
        <w:ind w:firstLine="422" w:firstLineChars="200"/>
        <w:rPr>
          <w:rFonts w:hint="eastAsia" w:ascii="宋体" w:hAnsi="宋体" w:cs="宋体"/>
          <w:b/>
          <w:color w:val="auto"/>
          <w:szCs w:val="21"/>
          <w:highlight w:val="none"/>
          <w:u w:val="single"/>
        </w:rPr>
      </w:pPr>
      <w:bookmarkStart w:id="872" w:name="_Toc351203484"/>
      <w:r>
        <w:rPr>
          <w:rFonts w:hint="eastAsia" w:ascii="宋体" w:hAnsi="宋体" w:cs="宋体"/>
          <w:b/>
          <w:color w:val="auto"/>
          <w:szCs w:val="21"/>
          <w:highlight w:val="none"/>
          <w:u w:val="single"/>
        </w:rPr>
        <w:t>四、签约合同价与合同价格形式</w:t>
      </w:r>
      <w:bookmarkEnd w:id="872"/>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873" w:name="_Toc351203485"/>
      <w:r>
        <w:rPr>
          <w:rFonts w:hint="eastAsia" w:ascii="宋体" w:hAnsi="宋体" w:cs="宋体"/>
          <w:b/>
          <w:color w:val="auto"/>
          <w:szCs w:val="21"/>
          <w:highlight w:val="none"/>
        </w:rPr>
        <w:t>五、</w:t>
      </w:r>
      <w:bookmarkEnd w:id="873"/>
      <w:r>
        <w:rPr>
          <w:rFonts w:hint="eastAsia" w:ascii="宋体" w:hAnsi="宋体" w:cs="宋体"/>
          <w:b/>
          <w:color w:val="auto"/>
          <w:szCs w:val="21"/>
          <w:highlight w:val="none"/>
        </w:rPr>
        <w:t>项目经理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874" w:name="_Toc351203486"/>
      <w:r>
        <w:rPr>
          <w:rFonts w:hint="eastAsia" w:ascii="宋体" w:hAnsi="宋体" w:cs="宋体"/>
          <w:b/>
          <w:color w:val="auto"/>
          <w:szCs w:val="21"/>
          <w:highlight w:val="none"/>
        </w:rPr>
        <w:t>六、合同文件构成</w:t>
      </w:r>
      <w:bookmarkEnd w:id="874"/>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22" w:firstLineChars="200"/>
        <w:rPr>
          <w:rFonts w:hint="eastAsia" w:ascii="宋体" w:hAnsi="宋体" w:cs="宋体"/>
          <w:b/>
          <w:color w:val="auto"/>
          <w:szCs w:val="21"/>
          <w:highlight w:val="none"/>
        </w:rPr>
      </w:pPr>
      <w:bookmarkStart w:id="875" w:name="_Toc351203487"/>
      <w:r>
        <w:rPr>
          <w:rFonts w:hint="eastAsia" w:ascii="宋体" w:hAnsi="宋体" w:cs="宋体"/>
          <w:b/>
          <w:color w:val="auto"/>
          <w:szCs w:val="21"/>
          <w:highlight w:val="none"/>
        </w:rPr>
        <w:t>七、承诺</w:t>
      </w:r>
      <w:bookmarkEnd w:id="875"/>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pPr>
        <w:spacing w:line="360" w:lineRule="auto"/>
        <w:ind w:firstLine="422" w:firstLineChars="200"/>
        <w:rPr>
          <w:rFonts w:hint="eastAsia" w:ascii="宋体" w:hAnsi="宋体" w:cs="宋体"/>
          <w:b/>
          <w:color w:val="auto"/>
          <w:szCs w:val="21"/>
          <w:highlight w:val="none"/>
        </w:rPr>
      </w:pPr>
      <w:bookmarkStart w:id="876" w:name="_Toc351203488"/>
      <w:r>
        <w:rPr>
          <w:rFonts w:hint="eastAsia" w:ascii="宋体" w:hAnsi="宋体" w:cs="宋体"/>
          <w:b/>
          <w:color w:val="auto"/>
          <w:szCs w:val="21"/>
          <w:highlight w:val="none"/>
        </w:rPr>
        <w:t>八、词语含义</w:t>
      </w:r>
      <w:bookmarkEnd w:id="876"/>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spacing w:line="360" w:lineRule="auto"/>
        <w:ind w:firstLine="422" w:firstLineChars="200"/>
        <w:rPr>
          <w:rFonts w:hint="eastAsia" w:ascii="宋体" w:hAnsi="宋体" w:cs="宋体"/>
          <w:b/>
          <w:color w:val="auto"/>
          <w:szCs w:val="21"/>
          <w:highlight w:val="none"/>
        </w:rPr>
      </w:pPr>
      <w:bookmarkStart w:id="877" w:name="_Toc351203489"/>
      <w:r>
        <w:rPr>
          <w:rFonts w:hint="eastAsia" w:ascii="宋体" w:hAnsi="宋体" w:cs="宋体"/>
          <w:b/>
          <w:color w:val="auto"/>
          <w:szCs w:val="21"/>
          <w:highlight w:val="none"/>
        </w:rPr>
        <w:t>九、签订时间</w:t>
      </w:r>
      <w:bookmarkEnd w:id="877"/>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spacing w:line="360" w:lineRule="auto"/>
        <w:ind w:firstLine="422" w:firstLineChars="200"/>
        <w:rPr>
          <w:rFonts w:hint="eastAsia" w:ascii="宋体" w:hAnsi="宋体" w:cs="宋体"/>
          <w:b/>
          <w:color w:val="auto"/>
          <w:szCs w:val="21"/>
          <w:highlight w:val="none"/>
        </w:rPr>
      </w:pPr>
      <w:bookmarkStart w:id="878" w:name="_Toc351203490"/>
      <w:r>
        <w:rPr>
          <w:rFonts w:hint="eastAsia" w:ascii="宋体" w:hAnsi="宋体" w:cs="宋体"/>
          <w:b/>
          <w:color w:val="auto"/>
          <w:szCs w:val="21"/>
          <w:highlight w:val="none"/>
        </w:rPr>
        <w:t>十、签订地点</w:t>
      </w:r>
      <w:bookmarkEnd w:id="878"/>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spacing w:line="360" w:lineRule="auto"/>
        <w:ind w:firstLine="422" w:firstLineChars="200"/>
        <w:rPr>
          <w:rFonts w:hint="eastAsia" w:ascii="宋体" w:hAnsi="宋体" w:cs="宋体"/>
          <w:b/>
          <w:color w:val="auto"/>
          <w:szCs w:val="21"/>
          <w:highlight w:val="none"/>
        </w:rPr>
      </w:pPr>
      <w:bookmarkStart w:id="879" w:name="_Toc351203491"/>
      <w:r>
        <w:rPr>
          <w:rFonts w:hint="eastAsia" w:ascii="宋体" w:hAnsi="宋体" w:cs="宋体"/>
          <w:b/>
          <w:color w:val="auto"/>
          <w:szCs w:val="21"/>
          <w:highlight w:val="none"/>
        </w:rPr>
        <w:t>十一、补充协议</w:t>
      </w:r>
      <w:bookmarkEnd w:id="879"/>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spacing w:line="360" w:lineRule="auto"/>
        <w:ind w:firstLine="422" w:firstLineChars="200"/>
        <w:rPr>
          <w:rFonts w:hint="eastAsia" w:ascii="宋体" w:hAnsi="宋体" w:cs="宋体"/>
          <w:b/>
          <w:color w:val="auto"/>
          <w:szCs w:val="21"/>
          <w:highlight w:val="none"/>
        </w:rPr>
      </w:pPr>
      <w:bookmarkStart w:id="880" w:name="_Toc351203492"/>
      <w:r>
        <w:rPr>
          <w:rFonts w:hint="eastAsia" w:ascii="宋体" w:hAnsi="宋体" w:cs="宋体"/>
          <w:b/>
          <w:color w:val="auto"/>
          <w:szCs w:val="21"/>
          <w:highlight w:val="none"/>
        </w:rPr>
        <w:t>十二、合同生效</w:t>
      </w:r>
      <w:bookmarkEnd w:id="880"/>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spacing w:line="360" w:lineRule="auto"/>
        <w:ind w:firstLine="422" w:firstLineChars="200"/>
        <w:rPr>
          <w:rFonts w:hint="eastAsia" w:ascii="宋体" w:hAnsi="宋体" w:cs="宋体"/>
          <w:b/>
          <w:color w:val="auto"/>
          <w:szCs w:val="21"/>
          <w:highlight w:val="none"/>
        </w:rPr>
      </w:pPr>
      <w:bookmarkStart w:id="881" w:name="_Toc351203493"/>
      <w:r>
        <w:rPr>
          <w:rFonts w:hint="eastAsia" w:ascii="宋体" w:hAnsi="宋体" w:cs="宋体"/>
          <w:b/>
          <w:color w:val="auto"/>
          <w:szCs w:val="21"/>
          <w:highlight w:val="none"/>
        </w:rPr>
        <w:t>十三、合同份数</w:t>
      </w:r>
      <w:bookmarkEnd w:id="881"/>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hint="eastAsia" w:ascii="宋体" w:hAnsi="宋体" w:cs="宋体"/>
          <w:bCs/>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p>
    <w:p>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67"/>
      <w:bookmarkEnd w:id="868"/>
      <w:bookmarkStart w:id="882" w:name="_Toc15494"/>
      <w:bookmarkStart w:id="883" w:name="_Toc95223460"/>
      <w:bookmarkStart w:id="884"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82"/>
      <w:bookmarkEnd w:id="883"/>
    </w:p>
    <w:p>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pPr>
        <w:pStyle w:val="2"/>
        <w:jc w:val="center"/>
        <w:rPr>
          <w:rFonts w:hint="eastAsia" w:ascii="黑体" w:eastAsia="黑体" w:cs="黑体"/>
          <w:color w:val="auto"/>
          <w:highlight w:val="none"/>
        </w:rPr>
      </w:pPr>
      <w:bookmarkStart w:id="885" w:name="_Toc14492"/>
      <w:r>
        <w:rPr>
          <w:rFonts w:hint="eastAsia" w:ascii="黑体" w:eastAsia="黑体" w:cs="黑体"/>
          <w:color w:val="auto"/>
          <w:highlight w:val="none"/>
        </w:rPr>
        <w:t>第三节 专用合同条款</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安徽巢东矿业高新材料有限责任公司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安徽巢东矿业高新材料有限责任公司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w:t>
      </w:r>
      <w:r>
        <w:rPr>
          <w:rFonts w:hint="eastAsia" w:ascii="宋体" w:hAnsi="宋体" w:cs="宋体"/>
          <w:b/>
          <w:bCs/>
          <w:color w:val="auto"/>
          <w:szCs w:val="21"/>
          <w:highlight w:val="none"/>
          <w:u w:val="single"/>
        </w:rPr>
        <w:t>。</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pPr>
        <w:numPr>
          <w:ilvl w:val="0"/>
          <w:numId w:val="7"/>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w:t>
      </w:r>
      <w:r>
        <w:rPr>
          <w:rFonts w:hint="eastAsia" w:ascii="宋体" w:hAnsi="Times New Roman" w:eastAsia="宋体" w:cs="宋体"/>
          <w:color w:val="auto"/>
          <w:szCs w:val="21"/>
          <w:highlight w:val="none"/>
          <w:lang w:val="en-US" w:eastAsia="zh-CN"/>
        </w:rPr>
        <w:t>合同价*2%</w:t>
      </w:r>
      <w:r>
        <w:rPr>
          <w:rFonts w:hint="eastAsia" w:ascii="宋体" w:hAnsi="Times New Roman" w:eastAsia="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形式：银行</w:t>
      </w:r>
      <w:r>
        <w:rPr>
          <w:rFonts w:hint="eastAsia" w:ascii="宋体" w:hAnsi="Times New Roman" w:eastAsia="宋体" w:cs="宋体"/>
          <w:color w:val="auto"/>
          <w:szCs w:val="21"/>
          <w:highlight w:val="none"/>
          <w:lang w:val="en-US" w:eastAsia="zh-CN"/>
        </w:rPr>
        <w:t>转账</w:t>
      </w:r>
      <w:r>
        <w:rPr>
          <w:rFonts w:hint="eastAsia" w:ascii="宋体" w:hAnsi="Times New Roman" w:eastAsia="宋体" w:cs="宋体"/>
          <w:color w:val="auto"/>
          <w:szCs w:val="21"/>
          <w:highlight w:val="none"/>
        </w:rPr>
        <w:t>等现金形式或银行保函</w:t>
      </w:r>
    </w:p>
    <w:p>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4. </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7.4 </w:t>
      </w:r>
      <w:r>
        <w:rPr>
          <w:rFonts w:hint="eastAsia" w:ascii="宋体" w:cs="宋体"/>
          <w:strike w:val="0"/>
          <w:dstrike w:val="0"/>
          <w:color w:val="auto"/>
          <w:szCs w:val="21"/>
          <w:highlight w:val="none"/>
        </w:rPr>
        <w:t>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pPr>
        <w:pStyle w:val="14"/>
        <w:spacing w:after="0" w:line="440" w:lineRule="exact"/>
        <w:ind w:left="0" w:leftChars="0"/>
        <w:rPr>
          <w:rFonts w:hint="eastAsia"/>
          <w:color w:val="auto"/>
          <w:highlight w:val="none"/>
        </w:rPr>
      </w:pPr>
      <w:r>
        <w:rPr>
          <w:rFonts w:hint="eastAsia"/>
          <w:color w:val="auto"/>
          <w:highlight w:val="none"/>
        </w:rPr>
        <w:t>因承包人原</w:t>
      </w:r>
      <w:r>
        <w:rPr>
          <w:rFonts w:hint="eastAsia"/>
          <w:color w:val="auto"/>
          <w:highlight w:val="none"/>
        </w:rPr>
        <w:t>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w:t>
      </w:r>
      <w:r>
        <w:rPr>
          <w:rFonts w:hint="eastAsia"/>
          <w:color w:val="auto"/>
          <w:highlight w:val="none"/>
          <w:u w:val="single"/>
        </w:rPr>
        <w:t>类推。连续两个月工程量未完成的立即限制承包人一年内不得参与发包人项目投标。</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pPr>
        <w:numPr>
          <w:ilvl w:val="0"/>
          <w:numId w:val="8"/>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8"/>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8"/>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w:t>
      </w:r>
      <w:r>
        <w:rPr>
          <w:rFonts w:hint="eastAsia" w:ascii="宋体" w:cs="宋体"/>
          <w:color w:val="auto"/>
          <w:szCs w:val="21"/>
          <w:highlight w:val="none"/>
        </w:rPr>
        <w:t>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结算价=合同价±工程变更造价±政策性调整造价－暂列金额×1.09± 合理工程索赔。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施工完成并通过</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审核无误，设备调试运行正常后支付合同总价的60%。项目竣工验收并经</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委托的跟踪审计单位出具审定意见书，并由</w:t>
      </w:r>
      <w:r>
        <w:rPr>
          <w:rFonts w:hint="eastAsia" w:ascii="宋体" w:cs="宋体"/>
          <w:color w:val="auto"/>
          <w:szCs w:val="21"/>
          <w:highlight w:val="none"/>
          <w:u w:val="single"/>
          <w:lang w:val="en-US" w:eastAsia="zh-CN"/>
        </w:rPr>
        <w:t>承包</w:t>
      </w:r>
      <w:r>
        <w:rPr>
          <w:rFonts w:hint="eastAsia" w:ascii="宋体" w:cs="宋体"/>
          <w:color w:val="auto"/>
          <w:szCs w:val="21"/>
          <w:highlight w:val="none"/>
          <w:u w:val="single"/>
        </w:rPr>
        <w:t xml:space="preserve">人提交合规的发票后，支付至审定价款的95%，剩余5%作为质量保证金在工程缺陷责任期（缺陷责任期2年，从竣工验收合格之日起计算）满后一个月内付清。（采用工程质量保证担保、工程质量保险等其他保证方式的，发包人不再预留质量保证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自竣工验收合格之日起24个月（详见付款方式）</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pPr>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pPr>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bookmarkStart w:id="886" w:name="_Toc95223485"/>
      <w:r>
        <w:rPr>
          <w:rFonts w:hint="eastAsia" w:ascii="宋体" w:eastAsia="宋体" w:cs="宋体"/>
          <w:b w:val="0"/>
          <w:color w:val="auto"/>
          <w:sz w:val="21"/>
          <w:szCs w:val="21"/>
          <w:highlight w:val="none"/>
        </w:rPr>
        <w:t>21. 补充条款</w:t>
      </w:r>
      <w:bookmarkEnd w:id="886"/>
      <w:r>
        <w:rPr>
          <w:rFonts w:hint="eastAsia" w:ascii="宋体" w:eastAsia="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bookmarkEnd w:id="857"/>
    <w:bookmarkEnd w:id="858"/>
    <w:bookmarkEnd w:id="859"/>
    <w:bookmarkEnd w:id="860"/>
    <w:bookmarkEnd w:id="884"/>
    <w:bookmarkEnd w:id="885"/>
    <w:p>
      <w:pPr>
        <w:rPr>
          <w:rFonts w:hint="eastAsia" w:ascii="宋体" w:hAnsi="宋体" w:cs="宋体"/>
          <w:bCs/>
          <w:color w:val="auto"/>
          <w:sz w:val="24"/>
          <w:highlight w:val="none"/>
        </w:rPr>
      </w:pPr>
      <w:bookmarkStart w:id="887" w:name="_Toc95223487"/>
      <w:bookmarkStart w:id="888" w:name="_Toc152042575"/>
      <w:bookmarkStart w:id="889" w:name="_Toc506107340"/>
      <w:bookmarkStart w:id="890" w:name="_Toc179632806"/>
      <w:bookmarkStart w:id="891" w:name="_Toc15058934"/>
      <w:bookmarkStart w:id="892" w:name="_Toc324404888"/>
      <w:bookmarkStart w:id="893" w:name="_Toc78803398"/>
      <w:bookmarkStart w:id="894" w:name="_Toc144974855"/>
      <w:bookmarkStart w:id="895" w:name="_Toc246996354"/>
      <w:bookmarkStart w:id="896" w:name="_Toc35425136"/>
      <w:bookmarkStart w:id="897" w:name="_Toc246997097"/>
      <w:bookmarkStart w:id="898" w:name="_Toc247085872"/>
      <w:bookmarkStart w:id="899" w:name="_Toc152045786"/>
      <w:bookmarkStart w:id="900" w:name="_Toc35424970"/>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1" w:name="_Toc296503225"/>
      <w:bookmarkStart w:id="902" w:name="_Toc296944564"/>
      <w:bookmarkStart w:id="903" w:name="_Toc296891265"/>
      <w:bookmarkStart w:id="904" w:name="_Toc296347224"/>
      <w:bookmarkStart w:id="905" w:name="_Toc296346726"/>
      <w:bookmarkStart w:id="906" w:name="_Toc296891053"/>
      <w:bookmarkStart w:id="907" w:name="_Toc26726169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87"/>
    </w:p>
    <w:bookmarkEnd w:id="901"/>
    <w:bookmarkEnd w:id="902"/>
    <w:bookmarkEnd w:id="903"/>
    <w:bookmarkEnd w:id="904"/>
    <w:bookmarkEnd w:id="905"/>
    <w:bookmarkEnd w:id="906"/>
    <w:bookmarkEnd w:id="907"/>
    <w:p>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1276" w:type="dxa"/>
            <w:noWrap w:val="0"/>
            <w:vAlign w:val="center"/>
          </w:tcPr>
          <w:p>
            <w:pPr>
              <w:snapToGrid w:val="0"/>
              <w:spacing w:line="360" w:lineRule="auto"/>
              <w:rPr>
                <w:rFonts w:hint="eastAsia" w:ascii="宋体" w:hAnsi="宋体" w:cs="宋体"/>
                <w:color w:val="auto"/>
                <w:sz w:val="22"/>
                <w:szCs w:val="21"/>
                <w:highlight w:val="none"/>
              </w:rPr>
            </w:pPr>
          </w:p>
        </w:tc>
        <w:tc>
          <w:tcPr>
            <w:tcW w:w="1082" w:type="dxa"/>
            <w:noWrap w:val="0"/>
            <w:vAlign w:val="center"/>
          </w:tcPr>
          <w:p>
            <w:pPr>
              <w:snapToGrid w:val="0"/>
              <w:spacing w:line="360" w:lineRule="auto"/>
              <w:rPr>
                <w:rFonts w:hint="eastAsia" w:ascii="宋体" w:hAnsi="宋体" w:cs="宋体"/>
                <w:color w:val="auto"/>
                <w:sz w:val="22"/>
                <w:szCs w:val="21"/>
                <w:highlight w:val="none"/>
              </w:rPr>
            </w:pPr>
          </w:p>
        </w:tc>
        <w:tc>
          <w:tcPr>
            <w:tcW w:w="940" w:type="dxa"/>
            <w:noWrap w:val="0"/>
            <w:vAlign w:val="center"/>
          </w:tcPr>
          <w:p>
            <w:pPr>
              <w:snapToGrid w:val="0"/>
              <w:spacing w:line="360" w:lineRule="auto"/>
              <w:rPr>
                <w:rFonts w:hint="eastAsia" w:ascii="宋体" w:hAnsi="宋体" w:cs="宋体"/>
                <w:color w:val="auto"/>
                <w:sz w:val="22"/>
                <w:szCs w:val="21"/>
                <w:highlight w:val="none"/>
              </w:rPr>
            </w:pPr>
          </w:p>
        </w:tc>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1044" w:type="dxa"/>
            <w:noWrap w:val="0"/>
            <w:vAlign w:val="center"/>
          </w:tcPr>
          <w:p>
            <w:pPr>
              <w:snapToGrid w:val="0"/>
              <w:spacing w:line="360" w:lineRule="auto"/>
              <w:rPr>
                <w:rFonts w:hint="eastAsia" w:ascii="宋体" w:hAnsi="宋体" w:cs="宋体"/>
                <w:color w:val="auto"/>
                <w:sz w:val="22"/>
                <w:szCs w:val="21"/>
                <w:highlight w:val="none"/>
              </w:rPr>
            </w:pPr>
          </w:p>
        </w:tc>
        <w:tc>
          <w:tcPr>
            <w:tcW w:w="992" w:type="dxa"/>
            <w:noWrap w:val="0"/>
            <w:vAlign w:val="center"/>
          </w:tcPr>
          <w:p>
            <w:pPr>
              <w:snapToGrid w:val="0"/>
              <w:spacing w:line="360" w:lineRule="auto"/>
              <w:rPr>
                <w:rFonts w:hint="eastAsia" w:ascii="宋体" w:hAnsi="宋体" w:cs="宋体"/>
                <w:color w:val="auto"/>
                <w:sz w:val="22"/>
                <w:szCs w:val="21"/>
                <w:highlight w:val="none"/>
              </w:rPr>
            </w:pPr>
          </w:p>
        </w:tc>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966" w:type="dxa"/>
            <w:noWrap w:val="0"/>
            <w:vAlign w:val="center"/>
          </w:tcPr>
          <w:p>
            <w:pPr>
              <w:snapToGrid w:val="0"/>
              <w:spacing w:line="360" w:lineRule="auto"/>
              <w:rPr>
                <w:rFonts w:hint="eastAsia" w:ascii="宋体" w:hAnsi="宋体" w:cs="宋体"/>
                <w:color w:val="auto"/>
                <w:sz w:val="22"/>
                <w:szCs w:val="21"/>
                <w:highlight w:val="none"/>
              </w:rPr>
            </w:pPr>
          </w:p>
        </w:tc>
        <w:tc>
          <w:tcPr>
            <w:tcW w:w="803" w:type="dxa"/>
            <w:noWrap w:val="0"/>
            <w:vAlign w:val="center"/>
          </w:tcPr>
          <w:p>
            <w:pPr>
              <w:snapToGrid w:val="0"/>
              <w:spacing w:line="360" w:lineRule="auto"/>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r>
    </w:tbl>
    <w:p>
      <w:pPr>
        <w:pStyle w:val="14"/>
        <w:rPr>
          <w:rFonts w:hint="eastAsia"/>
          <w:color w:val="auto"/>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08" w:name="_Toc95223490"/>
      <w:r>
        <w:rPr>
          <w:rFonts w:hint="eastAsia" w:ascii="宋体" w:hAnsi="宋体" w:cs="宋体"/>
          <w:bCs/>
          <w:color w:val="auto"/>
          <w:sz w:val="24"/>
          <w:highlight w:val="none"/>
        </w:rPr>
        <w:t>附</w:t>
      </w:r>
      <w:bookmarkStart w:id="909" w:name="_Toc267261693"/>
      <w:bookmarkStart w:id="910" w:name="_Toc296891266"/>
      <w:bookmarkStart w:id="911" w:name="_Toc296346727"/>
      <w:bookmarkStart w:id="912" w:name="_Toc296944565"/>
      <w:bookmarkStart w:id="913" w:name="_Toc296503226"/>
      <w:bookmarkStart w:id="914" w:name="_Toc296347225"/>
      <w:bookmarkStart w:id="915" w:name="_Toc296891054"/>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09"/>
      <w:bookmarkEnd w:id="910"/>
      <w:bookmarkEnd w:id="911"/>
      <w:bookmarkEnd w:id="912"/>
      <w:bookmarkEnd w:id="913"/>
      <w:bookmarkEnd w:id="914"/>
      <w:bookmarkEnd w:id="915"/>
      <w:r>
        <w:rPr>
          <w:rFonts w:hint="eastAsia" w:ascii="宋体" w:hAnsi="宋体" w:cs="宋体"/>
          <w:bCs/>
          <w:color w:val="auto"/>
          <w:sz w:val="24"/>
          <w:highlight w:val="none"/>
        </w:rPr>
        <w:t>工程质量保修书</w:t>
      </w:r>
    </w:p>
    <w:p>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08"/>
    </w:p>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pPr>
              <w:keepNext/>
              <w:rPr>
                <w:rFonts w:hint="eastAsia" w:ascii="宋体" w:hAnsi="宋体" w:cs="宋体"/>
                <w:color w:val="auto"/>
                <w:szCs w:val="21"/>
                <w:highlight w:val="none"/>
              </w:rPr>
            </w:pPr>
          </w:p>
        </w:tc>
        <w:tc>
          <w:tcPr>
            <w:tcW w:w="1276" w:type="dxa"/>
            <w:tcBorders>
              <w:top w:val="nil"/>
            </w:tcBorders>
            <w:noWrap w:val="0"/>
            <w:vAlign w:val="center"/>
          </w:tcPr>
          <w:p>
            <w:pPr>
              <w:keepNext/>
              <w:rPr>
                <w:rFonts w:hint="eastAsia" w:ascii="宋体" w:hAnsi="宋体" w:cs="宋体"/>
                <w:color w:val="auto"/>
                <w:szCs w:val="21"/>
                <w:highlight w:val="none"/>
              </w:rPr>
            </w:pPr>
          </w:p>
        </w:tc>
        <w:tc>
          <w:tcPr>
            <w:tcW w:w="1450" w:type="dxa"/>
            <w:tcBorders>
              <w:top w:val="nil"/>
            </w:tcBorders>
            <w:noWrap w:val="0"/>
            <w:vAlign w:val="center"/>
          </w:tcPr>
          <w:p>
            <w:pPr>
              <w:keepNext/>
              <w:rPr>
                <w:rFonts w:hint="eastAsia" w:ascii="宋体" w:hAnsi="宋体" w:cs="宋体"/>
                <w:color w:val="auto"/>
                <w:szCs w:val="21"/>
                <w:highlight w:val="none"/>
              </w:rPr>
            </w:pPr>
          </w:p>
        </w:tc>
        <w:tc>
          <w:tcPr>
            <w:tcW w:w="1243" w:type="dxa"/>
            <w:tcBorders>
              <w:top w:val="nil"/>
            </w:tcBorders>
            <w:noWrap w:val="0"/>
            <w:vAlign w:val="center"/>
          </w:tcPr>
          <w:p>
            <w:pPr>
              <w:keepNext/>
              <w:rPr>
                <w:rFonts w:hint="eastAsia" w:ascii="宋体" w:hAnsi="宋体" w:cs="宋体"/>
                <w:color w:val="auto"/>
                <w:szCs w:val="21"/>
                <w:highlight w:val="none"/>
              </w:rPr>
            </w:pPr>
          </w:p>
        </w:tc>
        <w:tc>
          <w:tcPr>
            <w:tcW w:w="1450" w:type="dxa"/>
            <w:tcBorders>
              <w:top w:val="nil"/>
            </w:tcBorders>
            <w:noWrap w:val="0"/>
            <w:vAlign w:val="center"/>
          </w:tcPr>
          <w:p>
            <w:pPr>
              <w:keepNext/>
              <w:rPr>
                <w:rFonts w:hint="eastAsia" w:ascii="宋体" w:hAnsi="宋体" w:cs="宋体"/>
                <w:color w:val="auto"/>
                <w:szCs w:val="21"/>
                <w:highlight w:val="none"/>
              </w:rPr>
            </w:pPr>
          </w:p>
        </w:tc>
        <w:tc>
          <w:tcPr>
            <w:tcW w:w="1667" w:type="dxa"/>
            <w:tcBorders>
              <w:top w:val="nil"/>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auto"/>
                <w:szCs w:val="21"/>
                <w:highlight w:val="none"/>
              </w:rPr>
            </w:pPr>
          </w:p>
        </w:tc>
        <w:tc>
          <w:tcPr>
            <w:tcW w:w="1276"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243"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667"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auto"/>
                <w:szCs w:val="21"/>
                <w:highlight w:val="none"/>
              </w:rPr>
            </w:pPr>
          </w:p>
        </w:tc>
        <w:tc>
          <w:tcPr>
            <w:tcW w:w="1276"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243"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667"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pPr>
              <w:rPr>
                <w:rFonts w:hint="eastAsia" w:ascii="宋体" w:hAnsi="宋体" w:cs="宋体"/>
                <w:color w:val="auto"/>
                <w:szCs w:val="21"/>
                <w:highlight w:val="none"/>
              </w:rPr>
            </w:pPr>
          </w:p>
        </w:tc>
        <w:tc>
          <w:tcPr>
            <w:tcW w:w="1276" w:type="dxa"/>
            <w:tcBorders>
              <w:bottom w:val="single" w:color="auto" w:sz="12" w:space="0"/>
            </w:tcBorders>
            <w:noWrap w:val="0"/>
            <w:vAlign w:val="top"/>
          </w:tcPr>
          <w:p>
            <w:pPr>
              <w:rPr>
                <w:rFonts w:hint="eastAsia" w:ascii="宋体" w:hAnsi="宋体" w:cs="宋体"/>
                <w:color w:val="auto"/>
                <w:szCs w:val="21"/>
                <w:highlight w:val="none"/>
              </w:rPr>
            </w:pPr>
          </w:p>
        </w:tc>
        <w:tc>
          <w:tcPr>
            <w:tcW w:w="1450" w:type="dxa"/>
            <w:tcBorders>
              <w:bottom w:val="single" w:color="auto" w:sz="12" w:space="0"/>
            </w:tcBorders>
            <w:noWrap w:val="0"/>
            <w:vAlign w:val="top"/>
          </w:tcPr>
          <w:p>
            <w:pPr>
              <w:rPr>
                <w:rFonts w:hint="eastAsia" w:ascii="宋体" w:hAnsi="宋体" w:cs="宋体"/>
                <w:color w:val="auto"/>
                <w:szCs w:val="21"/>
                <w:highlight w:val="none"/>
              </w:rPr>
            </w:pPr>
          </w:p>
        </w:tc>
        <w:tc>
          <w:tcPr>
            <w:tcW w:w="1243" w:type="dxa"/>
            <w:tcBorders>
              <w:bottom w:val="single" w:color="auto" w:sz="12" w:space="0"/>
            </w:tcBorders>
            <w:noWrap w:val="0"/>
            <w:vAlign w:val="top"/>
          </w:tcPr>
          <w:p>
            <w:pPr>
              <w:rPr>
                <w:rFonts w:hint="eastAsia" w:ascii="宋体" w:hAnsi="宋体" w:cs="宋体"/>
                <w:color w:val="auto"/>
                <w:szCs w:val="21"/>
                <w:highlight w:val="none"/>
              </w:rPr>
            </w:pPr>
          </w:p>
        </w:tc>
        <w:tc>
          <w:tcPr>
            <w:tcW w:w="1450" w:type="dxa"/>
            <w:tcBorders>
              <w:bottom w:val="single" w:color="auto" w:sz="12" w:space="0"/>
            </w:tcBorders>
            <w:noWrap w:val="0"/>
            <w:vAlign w:val="top"/>
          </w:tcPr>
          <w:p>
            <w:pPr>
              <w:rPr>
                <w:rFonts w:hint="eastAsia" w:ascii="宋体" w:hAnsi="宋体" w:cs="宋体"/>
                <w:color w:val="auto"/>
                <w:szCs w:val="21"/>
                <w:highlight w:val="none"/>
              </w:rPr>
            </w:pPr>
          </w:p>
        </w:tc>
        <w:tc>
          <w:tcPr>
            <w:tcW w:w="1667" w:type="dxa"/>
            <w:tcBorders>
              <w:bottom w:val="single" w:color="auto" w:sz="12"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16" w:name="_Toc95223491"/>
      <w:r>
        <w:rPr>
          <w:rFonts w:hint="eastAsia" w:ascii="宋体" w:hAnsi="宋体" w:cs="宋体"/>
          <w:bCs/>
          <w:color w:val="auto"/>
          <w:sz w:val="24"/>
          <w:highlight w:val="none"/>
        </w:rPr>
        <w:t>附</w:t>
      </w:r>
      <w:bookmarkStart w:id="917" w:name="_Toc267261698"/>
      <w:bookmarkStart w:id="918" w:name="_Toc296891055"/>
      <w:bookmarkStart w:id="919" w:name="_Toc296346728"/>
      <w:bookmarkStart w:id="920" w:name="_Toc296503227"/>
      <w:bookmarkStart w:id="921" w:name="_Toc296347226"/>
      <w:bookmarkStart w:id="922" w:name="_Toc296891267"/>
      <w:bookmarkStart w:id="923" w:name="_Toc29694456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16"/>
    </w:p>
    <w:bookmarkEnd w:id="917"/>
    <w:bookmarkEnd w:id="918"/>
    <w:bookmarkEnd w:id="919"/>
    <w:bookmarkEnd w:id="920"/>
    <w:bookmarkEnd w:id="921"/>
    <w:bookmarkEnd w:id="922"/>
    <w:bookmarkEnd w:id="923"/>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pPr>
              <w:keepNext/>
              <w:rPr>
                <w:rFonts w:hint="eastAsia" w:ascii="宋体" w:hAnsi="宋体" w:cs="宋体"/>
                <w:color w:val="auto"/>
                <w:szCs w:val="21"/>
                <w:highlight w:val="none"/>
              </w:rPr>
            </w:pPr>
          </w:p>
        </w:tc>
        <w:tc>
          <w:tcPr>
            <w:tcW w:w="1418" w:type="dxa"/>
            <w:tcBorders>
              <w:top w:val="nil"/>
            </w:tcBorders>
            <w:noWrap w:val="0"/>
            <w:vAlign w:val="center"/>
          </w:tcPr>
          <w:p>
            <w:pPr>
              <w:keepNext/>
              <w:rPr>
                <w:rFonts w:hint="eastAsia" w:ascii="宋体" w:hAnsi="宋体" w:cs="宋体"/>
                <w:color w:val="auto"/>
                <w:szCs w:val="21"/>
                <w:highlight w:val="none"/>
              </w:rPr>
            </w:pPr>
          </w:p>
        </w:tc>
        <w:tc>
          <w:tcPr>
            <w:tcW w:w="850" w:type="dxa"/>
            <w:tcBorders>
              <w:top w:val="nil"/>
            </w:tcBorders>
            <w:noWrap w:val="0"/>
            <w:vAlign w:val="center"/>
          </w:tcPr>
          <w:p>
            <w:pPr>
              <w:keepNext/>
              <w:rPr>
                <w:rFonts w:hint="eastAsia" w:ascii="宋体" w:hAnsi="宋体" w:cs="宋体"/>
                <w:color w:val="auto"/>
                <w:szCs w:val="21"/>
                <w:highlight w:val="none"/>
              </w:rPr>
            </w:pPr>
          </w:p>
        </w:tc>
        <w:tc>
          <w:tcPr>
            <w:tcW w:w="709" w:type="dxa"/>
            <w:tcBorders>
              <w:top w:val="nil"/>
            </w:tcBorders>
            <w:noWrap w:val="0"/>
            <w:vAlign w:val="center"/>
          </w:tcPr>
          <w:p>
            <w:pPr>
              <w:keepNext/>
              <w:rPr>
                <w:rFonts w:hint="eastAsia" w:ascii="宋体" w:hAnsi="宋体" w:cs="宋体"/>
                <w:color w:val="auto"/>
                <w:szCs w:val="21"/>
                <w:highlight w:val="none"/>
              </w:rPr>
            </w:pPr>
          </w:p>
        </w:tc>
        <w:tc>
          <w:tcPr>
            <w:tcW w:w="850" w:type="dxa"/>
            <w:tcBorders>
              <w:top w:val="nil"/>
            </w:tcBorders>
            <w:noWrap w:val="0"/>
            <w:vAlign w:val="center"/>
          </w:tcPr>
          <w:p>
            <w:pPr>
              <w:keepNext/>
              <w:rPr>
                <w:rFonts w:hint="eastAsia" w:ascii="宋体" w:hAnsi="宋体" w:cs="宋体"/>
                <w:color w:val="auto"/>
                <w:szCs w:val="21"/>
                <w:highlight w:val="none"/>
              </w:rPr>
            </w:pPr>
          </w:p>
        </w:tc>
        <w:tc>
          <w:tcPr>
            <w:tcW w:w="963" w:type="dxa"/>
            <w:tcBorders>
              <w:top w:val="nil"/>
            </w:tcBorders>
            <w:noWrap w:val="0"/>
            <w:vAlign w:val="center"/>
          </w:tcPr>
          <w:p>
            <w:pPr>
              <w:keepNext/>
              <w:rPr>
                <w:rFonts w:hint="eastAsia" w:ascii="宋体" w:hAnsi="宋体" w:cs="宋体"/>
                <w:color w:val="auto"/>
                <w:szCs w:val="21"/>
                <w:highlight w:val="none"/>
              </w:rPr>
            </w:pPr>
          </w:p>
        </w:tc>
        <w:tc>
          <w:tcPr>
            <w:tcW w:w="1480" w:type="dxa"/>
            <w:tcBorders>
              <w:top w:val="nil"/>
            </w:tcBorders>
            <w:noWrap w:val="0"/>
            <w:vAlign w:val="center"/>
          </w:tcPr>
          <w:p>
            <w:pPr>
              <w:keepNext/>
              <w:rPr>
                <w:rFonts w:hint="eastAsia" w:ascii="宋体" w:hAnsi="宋体" w:cs="宋体"/>
                <w:color w:val="auto"/>
                <w:szCs w:val="21"/>
                <w:highlight w:val="none"/>
              </w:rPr>
            </w:pPr>
          </w:p>
        </w:tc>
        <w:tc>
          <w:tcPr>
            <w:tcW w:w="1020" w:type="dxa"/>
            <w:tcBorders>
              <w:top w:val="nil"/>
            </w:tcBorders>
            <w:noWrap w:val="0"/>
            <w:vAlign w:val="center"/>
          </w:tcPr>
          <w:p>
            <w:pPr>
              <w:keepNext/>
              <w:rPr>
                <w:rFonts w:hint="eastAsia" w:ascii="宋体" w:hAnsi="宋体" w:cs="宋体"/>
                <w:color w:val="auto"/>
                <w:szCs w:val="21"/>
                <w:highlight w:val="none"/>
              </w:rPr>
            </w:pPr>
          </w:p>
        </w:tc>
        <w:tc>
          <w:tcPr>
            <w:tcW w:w="932" w:type="dxa"/>
            <w:tcBorders>
              <w:top w:val="nil"/>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auto"/>
                <w:szCs w:val="21"/>
                <w:highlight w:val="none"/>
              </w:rPr>
            </w:pPr>
          </w:p>
        </w:tc>
        <w:tc>
          <w:tcPr>
            <w:tcW w:w="1418"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709"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963" w:type="dxa"/>
            <w:noWrap w:val="0"/>
            <w:vAlign w:val="top"/>
          </w:tcPr>
          <w:p>
            <w:pPr>
              <w:rPr>
                <w:rFonts w:hint="eastAsia" w:ascii="宋体" w:hAnsi="宋体" w:cs="宋体"/>
                <w:color w:val="auto"/>
                <w:szCs w:val="21"/>
                <w:highlight w:val="none"/>
              </w:rPr>
            </w:pPr>
          </w:p>
        </w:tc>
        <w:tc>
          <w:tcPr>
            <w:tcW w:w="1480" w:type="dxa"/>
            <w:noWrap w:val="0"/>
            <w:vAlign w:val="top"/>
          </w:tcPr>
          <w:p>
            <w:pPr>
              <w:rPr>
                <w:rFonts w:hint="eastAsia" w:ascii="宋体" w:hAnsi="宋体" w:cs="宋体"/>
                <w:color w:val="auto"/>
                <w:szCs w:val="21"/>
                <w:highlight w:val="none"/>
              </w:rPr>
            </w:pPr>
          </w:p>
        </w:tc>
        <w:tc>
          <w:tcPr>
            <w:tcW w:w="1020" w:type="dxa"/>
            <w:noWrap w:val="0"/>
            <w:vAlign w:val="top"/>
          </w:tcPr>
          <w:p>
            <w:pPr>
              <w:rPr>
                <w:rFonts w:hint="eastAsia" w:ascii="宋体" w:hAnsi="宋体" w:cs="宋体"/>
                <w:color w:val="auto"/>
                <w:szCs w:val="21"/>
                <w:highlight w:val="none"/>
              </w:rPr>
            </w:pPr>
          </w:p>
        </w:tc>
        <w:tc>
          <w:tcPr>
            <w:tcW w:w="932"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auto"/>
                <w:szCs w:val="21"/>
                <w:highlight w:val="none"/>
              </w:rPr>
            </w:pPr>
          </w:p>
        </w:tc>
        <w:tc>
          <w:tcPr>
            <w:tcW w:w="1418"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709"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963" w:type="dxa"/>
            <w:noWrap w:val="0"/>
            <w:vAlign w:val="top"/>
          </w:tcPr>
          <w:p>
            <w:pPr>
              <w:rPr>
                <w:rFonts w:hint="eastAsia" w:ascii="宋体" w:hAnsi="宋体" w:cs="宋体"/>
                <w:color w:val="auto"/>
                <w:szCs w:val="21"/>
                <w:highlight w:val="none"/>
              </w:rPr>
            </w:pPr>
          </w:p>
        </w:tc>
        <w:tc>
          <w:tcPr>
            <w:tcW w:w="1480" w:type="dxa"/>
            <w:noWrap w:val="0"/>
            <w:vAlign w:val="top"/>
          </w:tcPr>
          <w:p>
            <w:pPr>
              <w:rPr>
                <w:rFonts w:hint="eastAsia" w:ascii="宋体" w:hAnsi="宋体" w:cs="宋体"/>
                <w:color w:val="auto"/>
                <w:szCs w:val="21"/>
                <w:highlight w:val="none"/>
              </w:rPr>
            </w:pPr>
          </w:p>
        </w:tc>
        <w:tc>
          <w:tcPr>
            <w:tcW w:w="1020" w:type="dxa"/>
            <w:noWrap w:val="0"/>
            <w:vAlign w:val="top"/>
          </w:tcPr>
          <w:p>
            <w:pPr>
              <w:rPr>
                <w:rFonts w:hint="eastAsia" w:ascii="宋体" w:hAnsi="宋体" w:cs="宋体"/>
                <w:color w:val="auto"/>
                <w:szCs w:val="21"/>
                <w:highlight w:val="none"/>
              </w:rPr>
            </w:pPr>
          </w:p>
        </w:tc>
        <w:tc>
          <w:tcPr>
            <w:tcW w:w="932"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pPr>
              <w:rPr>
                <w:rFonts w:hint="eastAsia" w:ascii="宋体" w:hAnsi="宋体" w:cs="宋体"/>
                <w:color w:val="auto"/>
                <w:szCs w:val="21"/>
                <w:highlight w:val="none"/>
              </w:rPr>
            </w:pPr>
          </w:p>
        </w:tc>
        <w:tc>
          <w:tcPr>
            <w:tcW w:w="1418" w:type="dxa"/>
            <w:tcBorders>
              <w:bottom w:val="single" w:color="auto" w:sz="12" w:space="0"/>
            </w:tcBorders>
            <w:noWrap w:val="0"/>
            <w:vAlign w:val="top"/>
          </w:tcPr>
          <w:p>
            <w:pPr>
              <w:rPr>
                <w:rFonts w:hint="eastAsia" w:ascii="宋体" w:hAnsi="宋体" w:cs="宋体"/>
                <w:color w:val="auto"/>
                <w:szCs w:val="21"/>
                <w:highlight w:val="none"/>
              </w:rPr>
            </w:pPr>
          </w:p>
        </w:tc>
        <w:tc>
          <w:tcPr>
            <w:tcW w:w="850" w:type="dxa"/>
            <w:tcBorders>
              <w:bottom w:val="single" w:color="auto" w:sz="12" w:space="0"/>
            </w:tcBorders>
            <w:noWrap w:val="0"/>
            <w:vAlign w:val="top"/>
          </w:tcPr>
          <w:p>
            <w:pPr>
              <w:rPr>
                <w:rFonts w:hint="eastAsia" w:ascii="宋体" w:hAnsi="宋体" w:cs="宋体"/>
                <w:color w:val="auto"/>
                <w:szCs w:val="21"/>
                <w:highlight w:val="none"/>
              </w:rPr>
            </w:pPr>
          </w:p>
        </w:tc>
        <w:tc>
          <w:tcPr>
            <w:tcW w:w="709" w:type="dxa"/>
            <w:tcBorders>
              <w:bottom w:val="single" w:color="auto" w:sz="12" w:space="0"/>
            </w:tcBorders>
            <w:noWrap w:val="0"/>
            <w:vAlign w:val="top"/>
          </w:tcPr>
          <w:p>
            <w:pPr>
              <w:rPr>
                <w:rFonts w:hint="eastAsia" w:ascii="宋体" w:hAnsi="宋体" w:cs="宋体"/>
                <w:color w:val="auto"/>
                <w:szCs w:val="21"/>
                <w:highlight w:val="none"/>
              </w:rPr>
            </w:pPr>
          </w:p>
        </w:tc>
        <w:tc>
          <w:tcPr>
            <w:tcW w:w="850" w:type="dxa"/>
            <w:tcBorders>
              <w:bottom w:val="single" w:color="auto" w:sz="12" w:space="0"/>
            </w:tcBorders>
            <w:noWrap w:val="0"/>
            <w:vAlign w:val="top"/>
          </w:tcPr>
          <w:p>
            <w:pPr>
              <w:rPr>
                <w:rFonts w:hint="eastAsia" w:ascii="宋体" w:hAnsi="宋体" w:cs="宋体"/>
                <w:color w:val="auto"/>
                <w:szCs w:val="21"/>
                <w:highlight w:val="none"/>
              </w:rPr>
            </w:pPr>
          </w:p>
        </w:tc>
        <w:tc>
          <w:tcPr>
            <w:tcW w:w="963" w:type="dxa"/>
            <w:tcBorders>
              <w:bottom w:val="single" w:color="auto" w:sz="12" w:space="0"/>
            </w:tcBorders>
            <w:noWrap w:val="0"/>
            <w:vAlign w:val="top"/>
          </w:tcPr>
          <w:p>
            <w:pPr>
              <w:rPr>
                <w:rFonts w:hint="eastAsia" w:ascii="宋体" w:hAnsi="宋体" w:cs="宋体"/>
                <w:color w:val="auto"/>
                <w:szCs w:val="21"/>
                <w:highlight w:val="none"/>
              </w:rPr>
            </w:pPr>
          </w:p>
        </w:tc>
        <w:tc>
          <w:tcPr>
            <w:tcW w:w="1480" w:type="dxa"/>
            <w:tcBorders>
              <w:bottom w:val="single" w:color="auto" w:sz="12" w:space="0"/>
            </w:tcBorders>
            <w:noWrap w:val="0"/>
            <w:vAlign w:val="top"/>
          </w:tcPr>
          <w:p>
            <w:pPr>
              <w:rPr>
                <w:rFonts w:hint="eastAsia" w:ascii="宋体" w:hAnsi="宋体" w:cs="宋体"/>
                <w:color w:val="auto"/>
                <w:szCs w:val="21"/>
                <w:highlight w:val="none"/>
              </w:rPr>
            </w:pPr>
          </w:p>
        </w:tc>
        <w:tc>
          <w:tcPr>
            <w:tcW w:w="1020" w:type="dxa"/>
            <w:tcBorders>
              <w:bottom w:val="single" w:color="auto" w:sz="12" w:space="0"/>
            </w:tcBorders>
            <w:noWrap w:val="0"/>
            <w:vAlign w:val="top"/>
          </w:tcPr>
          <w:p>
            <w:pPr>
              <w:rPr>
                <w:rFonts w:hint="eastAsia" w:ascii="宋体" w:hAnsi="宋体" w:cs="宋体"/>
                <w:color w:val="auto"/>
                <w:szCs w:val="21"/>
                <w:highlight w:val="none"/>
              </w:rPr>
            </w:pPr>
          </w:p>
        </w:tc>
        <w:tc>
          <w:tcPr>
            <w:tcW w:w="932" w:type="dxa"/>
            <w:tcBorders>
              <w:bottom w:val="single" w:color="auto" w:sz="12"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bookmarkStart w:id="924" w:name="_Toc95223492"/>
      <w:r>
        <w:rPr>
          <w:rFonts w:hint="eastAsia" w:ascii="宋体" w:hAnsi="宋体" w:cs="宋体"/>
          <w:bCs/>
          <w:color w:val="auto"/>
          <w:sz w:val="24"/>
          <w:highlight w:val="none"/>
        </w:rPr>
        <w:t>附</w:t>
      </w:r>
      <w:bookmarkStart w:id="925" w:name="_Toc296346729"/>
      <w:bookmarkStart w:id="926" w:name="_Toc296891268"/>
      <w:bookmarkStart w:id="927" w:name="_Toc296503228"/>
      <w:bookmarkStart w:id="928" w:name="_Toc296944567"/>
      <w:bookmarkStart w:id="929" w:name="_Toc296347227"/>
      <w:bookmarkStart w:id="930" w:name="_Toc267261699"/>
      <w:bookmarkStart w:id="931" w:name="_Toc296891056"/>
      <w:r>
        <w:rPr>
          <w:rFonts w:hint="eastAsia" w:ascii="宋体" w:hAnsi="宋体" w:cs="宋体"/>
          <w:bCs/>
          <w:color w:val="auto"/>
          <w:sz w:val="24"/>
          <w:highlight w:val="none"/>
        </w:rPr>
        <w:t>件</w:t>
      </w:r>
      <w:bookmarkEnd w:id="925"/>
      <w:bookmarkEnd w:id="926"/>
      <w:bookmarkEnd w:id="927"/>
      <w:bookmarkEnd w:id="928"/>
      <w:bookmarkEnd w:id="929"/>
      <w:bookmarkEnd w:id="930"/>
      <w:bookmarkEnd w:id="931"/>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24"/>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pPr>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pPr>
              <w:keepNext/>
              <w:spacing w:line="360" w:lineRule="auto"/>
              <w:jc w:val="center"/>
              <w:rPr>
                <w:rFonts w:hint="eastAsia" w:ascii="宋体" w:hAnsi="宋体" w:cs="宋体"/>
                <w:color w:val="auto"/>
                <w:szCs w:val="21"/>
                <w:highlight w:val="none"/>
              </w:rPr>
            </w:pPr>
          </w:p>
        </w:tc>
      </w:tr>
    </w:tbl>
    <w:p>
      <w:pPr>
        <w:pStyle w:val="43"/>
        <w:spacing w:beforeLines="50" w:afterLines="50" w:line="440" w:lineRule="exact"/>
        <w:rPr>
          <w:rFonts w:hint="eastAsia"/>
          <w:bCs/>
          <w:color w:val="auto"/>
          <w:szCs w:val="32"/>
          <w:highlight w:val="none"/>
        </w:rPr>
      </w:pPr>
    </w:p>
    <w:p>
      <w:pPr>
        <w:rPr>
          <w:rFonts w:hint="eastAsia" w:ascii="宋体" w:hAnsi="宋体" w:cs="宋体"/>
          <w:bCs/>
          <w:color w:val="auto"/>
          <w:sz w:val="24"/>
          <w:highlight w:val="none"/>
        </w:rPr>
      </w:pPr>
      <w:bookmarkStart w:id="932" w:name="_Toc95223495"/>
      <w:bookmarkStart w:id="933" w:name="_Toc7655"/>
      <w:bookmarkStart w:id="934" w:name="_Toc25726"/>
      <w:r>
        <w:rPr>
          <w:rFonts w:hint="eastAsia" w:ascii="宋体" w:hAnsi="宋体" w:cs="宋体"/>
          <w:bCs/>
          <w:color w:val="auto"/>
          <w:sz w:val="24"/>
          <w:highlight w:val="none"/>
        </w:rPr>
        <w:br w:type="page"/>
      </w:r>
    </w:p>
    <w:p>
      <w:pPr>
        <w:keepNext/>
        <w:keepLines/>
        <w:spacing w:before="120" w:after="120"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附</w:t>
      </w:r>
      <w:bookmarkStart w:id="935" w:name="_Toc296891059"/>
      <w:bookmarkStart w:id="936" w:name="_Toc296944570"/>
      <w:bookmarkStart w:id="937" w:name="_Toc296346732"/>
      <w:bookmarkStart w:id="938" w:name="_Toc296891271"/>
      <w:bookmarkStart w:id="939" w:name="_Toc296503231"/>
      <w:bookmarkStart w:id="940" w:name="_Toc29634723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32"/>
      <w:bookmarkEnd w:id="933"/>
      <w:bookmarkEnd w:id="934"/>
    </w:p>
    <w:bookmarkEnd w:id="935"/>
    <w:bookmarkEnd w:id="936"/>
    <w:bookmarkEnd w:id="937"/>
    <w:bookmarkEnd w:id="938"/>
    <w:bookmarkEnd w:id="939"/>
    <w:bookmarkEnd w:id="940"/>
    <w:p>
      <w:pPr>
        <w:widowControl/>
        <w:spacing w:line="360" w:lineRule="auto"/>
        <w:ind w:firstLine="643"/>
        <w:jc w:val="center"/>
        <w:outlineLvl w:val="0"/>
        <w:rPr>
          <w:rFonts w:hint="eastAsia" w:ascii="宋体" w:hAnsi="宋体" w:cs="宋体"/>
          <w:b/>
          <w:bCs/>
          <w:color w:val="auto"/>
          <w:kern w:val="0"/>
          <w:sz w:val="32"/>
          <w:szCs w:val="32"/>
          <w:highlight w:val="none"/>
        </w:rPr>
      </w:pPr>
      <w:bookmarkStart w:id="941" w:name="_Toc95223496"/>
      <w:bookmarkStart w:id="942" w:name="_Toc7607"/>
      <w:bookmarkStart w:id="943" w:name="_Toc9808"/>
      <w:r>
        <w:rPr>
          <w:rFonts w:hint="eastAsia" w:ascii="宋体" w:hAnsi="宋体" w:cs="宋体"/>
          <w:b/>
          <w:bCs/>
          <w:color w:val="auto"/>
          <w:kern w:val="0"/>
          <w:sz w:val="32"/>
          <w:szCs w:val="32"/>
          <w:highlight w:val="none"/>
        </w:rPr>
        <w:t>廉 政 协 议</w:t>
      </w:r>
      <w:bookmarkEnd w:id="941"/>
      <w:bookmarkEnd w:id="942"/>
      <w:bookmarkEnd w:id="94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44" w:name="_Toc95223497"/>
      <w:bookmarkStart w:id="945" w:name="_Toc21306"/>
      <w:bookmarkStart w:id="946" w:name="_Toc9888"/>
      <w:r>
        <w:rPr>
          <w:rFonts w:hint="eastAsia" w:ascii="宋体" w:hAnsi="宋体" w:cs="宋体"/>
          <w:color w:val="auto"/>
          <w:kern w:val="0"/>
          <w:szCs w:val="21"/>
          <w:highlight w:val="none"/>
        </w:rPr>
        <w:t>第一条 甲乙双方的权利和义务</w:t>
      </w:r>
      <w:bookmarkEnd w:id="944"/>
      <w:bookmarkEnd w:id="945"/>
      <w:bookmarkEnd w:id="946"/>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47" w:name="_Toc3866"/>
      <w:bookmarkStart w:id="948" w:name="_Toc1917"/>
      <w:bookmarkStart w:id="949" w:name="_Toc95223498"/>
      <w:r>
        <w:rPr>
          <w:rFonts w:hint="eastAsia" w:ascii="宋体" w:hAnsi="宋体" w:cs="宋体"/>
          <w:color w:val="auto"/>
          <w:kern w:val="0"/>
          <w:szCs w:val="21"/>
          <w:highlight w:val="none"/>
        </w:rPr>
        <w:t>第二条 甲方的义务</w:t>
      </w:r>
      <w:bookmarkEnd w:id="947"/>
      <w:bookmarkEnd w:id="948"/>
      <w:bookmarkEnd w:id="949"/>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0" w:name="_Toc10556"/>
      <w:bookmarkStart w:id="951" w:name="_Toc95223499"/>
      <w:bookmarkStart w:id="952" w:name="_Toc20831"/>
      <w:r>
        <w:rPr>
          <w:rFonts w:hint="eastAsia" w:ascii="宋体" w:hAnsi="宋体" w:cs="宋体"/>
          <w:color w:val="auto"/>
          <w:kern w:val="0"/>
          <w:szCs w:val="21"/>
          <w:highlight w:val="none"/>
        </w:rPr>
        <w:t>第三条 乙方的义务</w:t>
      </w:r>
      <w:bookmarkEnd w:id="950"/>
      <w:bookmarkEnd w:id="951"/>
      <w:bookmarkEnd w:id="952"/>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3" w:name="_Toc14507"/>
      <w:bookmarkStart w:id="954" w:name="_Toc95223500"/>
      <w:bookmarkStart w:id="955" w:name="_Toc2198"/>
      <w:r>
        <w:rPr>
          <w:rFonts w:hint="eastAsia" w:ascii="宋体" w:hAnsi="宋体" w:cs="宋体"/>
          <w:color w:val="auto"/>
          <w:kern w:val="0"/>
          <w:szCs w:val="21"/>
          <w:highlight w:val="none"/>
        </w:rPr>
        <w:t>第四条 违约责任</w:t>
      </w:r>
      <w:bookmarkEnd w:id="953"/>
      <w:bookmarkEnd w:id="954"/>
      <w:bookmarkEnd w:id="955"/>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10228"/>
      <w:bookmarkStart w:id="957" w:name="_Toc95223501"/>
      <w:bookmarkStart w:id="958" w:name="_Toc2334"/>
      <w:r>
        <w:rPr>
          <w:rFonts w:hint="eastAsia" w:ascii="宋体" w:hAnsi="宋体" w:cs="宋体"/>
          <w:color w:val="auto"/>
          <w:kern w:val="0"/>
          <w:szCs w:val="21"/>
          <w:highlight w:val="none"/>
        </w:rPr>
        <w:t>第五条 双方约定</w:t>
      </w:r>
      <w:bookmarkEnd w:id="956"/>
      <w:bookmarkEnd w:id="957"/>
      <w:bookmarkEnd w:id="95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95223502"/>
      <w:bookmarkStart w:id="960" w:name="_Toc32140"/>
      <w:bookmarkStart w:id="961" w:name="_Toc17717"/>
      <w:r>
        <w:rPr>
          <w:rFonts w:hint="eastAsia" w:ascii="宋体" w:hAnsi="宋体" w:cs="宋体"/>
          <w:color w:val="auto"/>
          <w:kern w:val="0"/>
          <w:szCs w:val="21"/>
          <w:highlight w:val="none"/>
        </w:rPr>
        <w:t>第六条  本协议有效期为甲乙双方签署之日起至合同终止。</w:t>
      </w:r>
      <w:bookmarkEnd w:id="959"/>
      <w:bookmarkEnd w:id="960"/>
      <w:bookmarkEnd w:id="961"/>
      <w:r>
        <w:rPr>
          <w:rFonts w:hint="eastAsia" w:ascii="宋体" w:hAnsi="宋体" w:cs="宋体"/>
          <w:color w:val="auto"/>
          <w:kern w:val="0"/>
          <w:szCs w:val="21"/>
          <w:highlight w:val="none"/>
        </w:rPr>
        <w:t xml:space="preserve">  </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2" w:name="_Toc1871"/>
      <w:bookmarkStart w:id="963" w:name="_Toc24032"/>
      <w:bookmarkStart w:id="964" w:name="_Toc95223503"/>
      <w:r>
        <w:rPr>
          <w:rFonts w:hint="eastAsia" w:ascii="宋体" w:hAnsi="宋体" w:cs="宋体"/>
          <w:color w:val="auto"/>
          <w:kern w:val="0"/>
          <w:szCs w:val="21"/>
          <w:highlight w:val="none"/>
        </w:rPr>
        <w:t>第七条  本协议作为合同的附件，与本合同具有同等法律效力。</w:t>
      </w:r>
      <w:bookmarkEnd w:id="962"/>
      <w:bookmarkEnd w:id="963"/>
      <w:bookmarkEnd w:id="964"/>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65"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65"/>
    </w:p>
    <w:p>
      <w:pPr>
        <w:adjustRightInd w:val="0"/>
        <w:snapToGrid w:val="0"/>
        <w:spacing w:line="360" w:lineRule="auto"/>
        <w:jc w:val="center"/>
        <w:outlineLvl w:val="0"/>
        <w:rPr>
          <w:rFonts w:hint="eastAsia" w:ascii="宋体" w:hAnsi="宋体" w:cs="宋体"/>
          <w:b/>
          <w:bCs/>
          <w:color w:val="auto"/>
          <w:sz w:val="32"/>
          <w:szCs w:val="32"/>
          <w:highlight w:val="none"/>
        </w:rPr>
      </w:pPr>
      <w:bookmarkStart w:id="966" w:name="_Toc25855"/>
      <w:bookmarkStart w:id="967" w:name="_Toc95223505"/>
      <w:bookmarkStart w:id="968" w:name="_Toc8655"/>
      <w:r>
        <w:rPr>
          <w:rFonts w:hint="eastAsia" w:ascii="宋体" w:hAnsi="宋体" w:cs="宋体"/>
          <w:b/>
          <w:bCs/>
          <w:color w:val="auto"/>
          <w:sz w:val="32"/>
          <w:szCs w:val="32"/>
          <w:highlight w:val="none"/>
        </w:rPr>
        <w:t>履约保函示范文本</w:t>
      </w:r>
      <w:bookmarkEnd w:id="966"/>
      <w:bookmarkEnd w:id="967"/>
      <w:bookmarkEnd w:id="968"/>
    </w:p>
    <w:p>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pPr>
        <w:adjustRightInd w:val="0"/>
        <w:snapToGrid w:val="0"/>
        <w:spacing w:line="360" w:lineRule="auto"/>
        <w:ind w:firstLine="480"/>
        <w:rPr>
          <w:rFonts w:hint="eastAsia" w:ascii="宋体" w:hAnsi="宋体" w:cs="宋体"/>
          <w:color w:val="auto"/>
          <w:szCs w:val="21"/>
          <w:highlight w:val="none"/>
        </w:rPr>
      </w:pPr>
      <w:bookmarkStart w:id="969"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69"/>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70" w:name="_Hlk40303486"/>
      <w:r>
        <w:rPr>
          <w:rFonts w:hint="eastAsia" w:ascii="宋体" w:hAnsi="宋体" w:cs="宋体"/>
          <w:color w:val="auto"/>
          <w:szCs w:val="21"/>
          <w:highlight w:val="none"/>
        </w:rPr>
        <w:t>受益人发出的书面付款通知应由其法定代表人（负责人）或授权代理人签字并加盖公章。</w:t>
      </w:r>
      <w:bookmarkEnd w:id="970"/>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pPr>
        <w:adjustRightInd w:val="0"/>
        <w:snapToGrid w:val="0"/>
        <w:spacing w:line="360" w:lineRule="auto"/>
        <w:ind w:firstLine="420" w:firstLineChars="200"/>
        <w:rPr>
          <w:rFonts w:hint="eastAsia" w:ascii="宋体" w:hAnsi="宋体" w:cs="宋体"/>
          <w:color w:val="auto"/>
          <w:szCs w:val="21"/>
          <w:highlight w:val="none"/>
        </w:rPr>
      </w:pPr>
      <w:bookmarkStart w:id="971" w:name="_Hlk40303383"/>
      <w:bookmarkStart w:id="972" w:name="_Hlk40354981"/>
      <w:r>
        <w:rPr>
          <w:rFonts w:hint="eastAsia" w:ascii="宋体" w:hAnsi="宋体" w:cs="宋体"/>
          <w:color w:val="auto"/>
          <w:szCs w:val="21"/>
          <w:highlight w:val="none"/>
        </w:rPr>
        <w:t xml:space="preserve">七、本保函项下的义务和责任均在保函有效期到期后自动消灭。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71"/>
      <w:r>
        <w:rPr>
          <w:rFonts w:hint="eastAsia" w:ascii="宋体" w:hAnsi="宋体" w:cs="宋体"/>
          <w:color w:val="auto"/>
          <w:szCs w:val="21"/>
          <w:highlight w:val="none"/>
        </w:rPr>
        <w:t xml:space="preserve">由受益人所在地人民法院管辖。 </w:t>
      </w:r>
    </w:p>
    <w:bookmarkEnd w:id="972"/>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bCs/>
          <w:color w:val="auto"/>
          <w:sz w:val="24"/>
          <w:highlight w:val="none"/>
        </w:rPr>
      </w:pPr>
      <w:bookmarkStart w:id="973" w:name="_Toc95223510"/>
      <w:r>
        <w:rPr>
          <w:rFonts w:hint="eastAsia" w:ascii="宋体" w:hAnsi="宋体" w:cs="宋体"/>
          <w:bCs/>
          <w:color w:val="auto"/>
          <w:sz w:val="24"/>
          <w:highlight w:val="none"/>
        </w:rPr>
        <w:br w:type="page"/>
      </w:r>
    </w:p>
    <w:p>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973"/>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spacing w:before="120" w:beforeLines="50" w:after="120" w:afterLines="50"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spacing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rPr>
          <w:rFonts w:hint="eastAsia" w:ascii="宋体" w:hAnsi="宋体" w:cs="宋体"/>
          <w:color w:val="auto"/>
          <w:szCs w:val="22"/>
          <w:highlight w:val="none"/>
        </w:rPr>
      </w:pPr>
    </w:p>
    <w:p>
      <w:pPr>
        <w:rPr>
          <w:rFonts w:hint="eastAsia" w:ascii="宋体" w:hAnsi="宋体" w:cs="宋体"/>
          <w:color w:val="auto"/>
          <w:szCs w:val="22"/>
          <w:highlight w:val="none"/>
        </w:rPr>
      </w:pPr>
    </w:p>
    <w:p>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pPr>
        <w:keepNext/>
        <w:keepLines/>
        <w:spacing w:before="120" w:after="120" w:line="360" w:lineRule="auto"/>
        <w:jc w:val="left"/>
        <w:outlineLvl w:val="2"/>
        <w:rPr>
          <w:rFonts w:hint="eastAsia" w:ascii="宋体" w:hAnsi="宋体" w:cs="宋体"/>
          <w:bCs/>
          <w:color w:val="auto"/>
          <w:sz w:val="24"/>
          <w:highlight w:val="none"/>
        </w:rPr>
      </w:pPr>
      <w:bookmarkStart w:id="974"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974"/>
    </w:p>
    <w:p>
      <w:pPr>
        <w:adjustRightInd w:val="0"/>
        <w:snapToGrid w:val="0"/>
        <w:spacing w:line="360" w:lineRule="auto"/>
        <w:jc w:val="center"/>
        <w:outlineLvl w:val="0"/>
        <w:rPr>
          <w:rFonts w:hint="eastAsia" w:ascii="宋体" w:hAnsi="宋体" w:cs="宋体"/>
          <w:b/>
          <w:color w:val="auto"/>
          <w:sz w:val="32"/>
          <w:szCs w:val="32"/>
          <w:highlight w:val="none"/>
        </w:rPr>
      </w:pPr>
      <w:bookmarkStart w:id="975" w:name="_Toc95223512"/>
      <w:bookmarkStart w:id="976" w:name="_Toc16956"/>
      <w:bookmarkStart w:id="977" w:name="_Toc32439"/>
      <w:r>
        <w:rPr>
          <w:rFonts w:hint="eastAsia" w:ascii="宋体" w:hAnsi="宋体" w:cs="宋体"/>
          <w:b/>
          <w:color w:val="auto"/>
          <w:sz w:val="32"/>
          <w:szCs w:val="32"/>
          <w:highlight w:val="none"/>
        </w:rPr>
        <w:t>安全生产合同</w:t>
      </w:r>
      <w:bookmarkEnd w:id="975"/>
      <w:bookmarkEnd w:id="976"/>
      <w:bookmarkEnd w:id="97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hint="eastAsia" w:ascii="宋体" w:hAnsi="宋体" w:cs="宋体"/>
          <w:color w:val="auto"/>
          <w:szCs w:val="21"/>
          <w:highlight w:val="none"/>
        </w:rPr>
      </w:pPr>
    </w:p>
    <w:p>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7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978"/>
    </w:p>
    <w:p>
      <w:pPr>
        <w:keepNext/>
        <w:keepLines/>
        <w:spacing w:before="120" w:after="120" w:line="360" w:lineRule="auto"/>
        <w:jc w:val="left"/>
        <w:outlineLvl w:val="2"/>
        <w:rPr>
          <w:rFonts w:hint="eastAsia" w:ascii="宋体" w:hAnsi="宋体" w:cs="宋体"/>
          <w:bCs/>
          <w:color w:val="auto"/>
          <w:sz w:val="24"/>
          <w:highlight w:val="none"/>
        </w:rPr>
      </w:pPr>
    </w:p>
    <w:p>
      <w:pPr>
        <w:adjustRightInd w:val="0"/>
        <w:snapToGrid w:val="0"/>
        <w:spacing w:line="360" w:lineRule="auto"/>
        <w:jc w:val="center"/>
        <w:outlineLvl w:val="0"/>
        <w:rPr>
          <w:rFonts w:hint="eastAsia" w:ascii="宋体" w:hAnsi="宋体" w:cs="宋体"/>
          <w:b/>
          <w:color w:val="auto"/>
          <w:sz w:val="32"/>
          <w:szCs w:val="32"/>
          <w:highlight w:val="none"/>
        </w:rPr>
      </w:pPr>
      <w:bookmarkStart w:id="979" w:name="_Toc19059"/>
      <w:bookmarkStart w:id="980" w:name="_Toc95223514"/>
      <w:bookmarkStart w:id="981" w:name="_Toc20282"/>
      <w:r>
        <w:rPr>
          <w:rFonts w:hint="eastAsia" w:ascii="宋体" w:hAnsi="宋体" w:cs="宋体"/>
          <w:b/>
          <w:color w:val="auto"/>
          <w:sz w:val="32"/>
          <w:szCs w:val="32"/>
          <w:highlight w:val="none"/>
        </w:rPr>
        <w:t>项目经理质量终身责任制承诺</w:t>
      </w:r>
      <w:bookmarkEnd w:id="979"/>
      <w:bookmarkEnd w:id="980"/>
      <w:bookmarkEnd w:id="981"/>
    </w:p>
    <w:p>
      <w:pPr>
        <w:adjustRightInd w:val="0"/>
        <w:snapToGrid w:val="0"/>
        <w:spacing w:line="360" w:lineRule="auto"/>
        <w:jc w:val="center"/>
        <w:outlineLvl w:val="0"/>
        <w:rPr>
          <w:rFonts w:hint="eastAsia" w:ascii="宋体" w:hAnsi="宋体" w:cs="宋体"/>
          <w:b/>
          <w:color w:val="auto"/>
          <w:sz w:val="32"/>
          <w:szCs w:val="32"/>
          <w:highlight w:val="none"/>
        </w:rPr>
      </w:pPr>
    </w:p>
    <w:p>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pStyle w:val="14"/>
        <w:rPr>
          <w:rFonts w:hint="eastAsia"/>
          <w:color w:val="auto"/>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pStyle w:val="43"/>
        <w:numPr>
          <w:ilvl w:val="0"/>
          <w:numId w:val="10"/>
        </w:numPr>
        <w:spacing w:beforeLines="50" w:afterLines="50" w:line="440" w:lineRule="exact"/>
        <w:rPr>
          <w:rFonts w:hint="eastAsia" w:eastAsia="宋体" w:cs="Times New Roman"/>
          <w:bCs/>
          <w:color w:val="auto"/>
          <w:szCs w:val="32"/>
          <w:highlight w:val="none"/>
        </w:rPr>
      </w:pPr>
      <w:bookmarkStart w:id="982" w:name="_Toc95223515"/>
      <w:bookmarkStart w:id="983" w:name="_Toc4767"/>
      <w:r>
        <w:rPr>
          <w:rFonts w:hint="eastAsia" w:eastAsia="宋体" w:cs="Times New Roman"/>
          <w:bCs/>
          <w:color w:val="auto"/>
          <w:szCs w:val="32"/>
          <w:highlight w:val="none"/>
        </w:rPr>
        <w:t xml:space="preserve"> 工程量清单</w:t>
      </w:r>
      <w:bookmarkEnd w:id="982"/>
      <w:bookmarkEnd w:id="983"/>
    </w:p>
    <w:p>
      <w:pPr>
        <w:adjustRightInd w:val="0"/>
        <w:snapToGrid w:val="0"/>
        <w:spacing w:line="360" w:lineRule="auto"/>
        <w:ind w:firstLine="422" w:firstLineChars="200"/>
        <w:rPr>
          <w:rFonts w:hint="eastAsia" w:ascii="宋体" w:hAnsi="宋体" w:cs="宋体"/>
          <w:b/>
          <w:bCs/>
          <w:color w:val="auto"/>
          <w:szCs w:val="21"/>
          <w:highlight w:val="none"/>
        </w:rPr>
      </w:pPr>
      <w:bookmarkStart w:id="984" w:name="_Toc1620"/>
      <w:bookmarkStart w:id="985" w:name="_Toc95223516"/>
      <w:r>
        <w:rPr>
          <w:rFonts w:hint="eastAsia" w:ascii="宋体" w:hAnsi="宋体" w:cs="宋体"/>
          <w:b/>
          <w:bCs/>
          <w:color w:val="auto"/>
          <w:szCs w:val="21"/>
          <w:highlight w:val="none"/>
        </w:rPr>
        <w:t>1. 计价依据</w:t>
      </w:r>
      <w:bookmarkEnd w:id="984"/>
      <w:bookmarkEnd w:id="985"/>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1.2 安全文明施工费</w:t>
      </w:r>
      <w:r>
        <w:rPr>
          <w:rFonts w:hint="eastAsia" w:ascii="宋体" w:hAnsi="宋体" w:cs="宋体"/>
          <w:color w:val="auto"/>
          <w:szCs w:val="21"/>
          <w:highlight w:val="none"/>
          <w:lang w:val="en-US" w:eastAsia="zh-CN"/>
        </w:rPr>
        <w:t>详见工程量清单内容</w:t>
      </w:r>
      <w:r>
        <w:rPr>
          <w:rFonts w:hint="eastAsia" w:ascii="宋体" w:hAnsi="宋体" w:cs="宋体"/>
          <w:color w:val="auto"/>
          <w:szCs w:val="21"/>
          <w:highlight w:val="none"/>
          <w:lang w:eastAsia="zh-CN"/>
        </w:rPr>
        <w:t>。</w:t>
      </w:r>
    </w:p>
    <w:p>
      <w:pPr>
        <w:adjustRightInd w:val="0"/>
        <w:snapToGrid w:val="0"/>
        <w:spacing w:line="360" w:lineRule="auto"/>
        <w:ind w:firstLine="422" w:firstLineChars="200"/>
        <w:rPr>
          <w:rFonts w:hint="eastAsia" w:ascii="宋体" w:hAnsi="宋体" w:cs="宋体"/>
          <w:b/>
          <w:bCs/>
          <w:color w:val="auto"/>
          <w:szCs w:val="21"/>
          <w:highlight w:val="none"/>
        </w:rPr>
      </w:pPr>
      <w:bookmarkStart w:id="986" w:name="_Toc95223517"/>
      <w:bookmarkStart w:id="987" w:name="_Toc7039"/>
      <w:r>
        <w:rPr>
          <w:rFonts w:hint="eastAsia" w:ascii="宋体" w:hAnsi="宋体" w:cs="宋体"/>
          <w:b/>
          <w:bCs/>
          <w:color w:val="auto"/>
          <w:szCs w:val="21"/>
          <w:highlight w:val="none"/>
        </w:rPr>
        <w:t>2. 工程造价确定</w:t>
      </w:r>
      <w:bookmarkEnd w:id="986"/>
      <w:bookmarkEnd w:id="987"/>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pPr>
        <w:adjustRightInd w:val="0"/>
        <w:snapToGrid w:val="0"/>
        <w:spacing w:line="360" w:lineRule="auto"/>
        <w:ind w:firstLine="422" w:firstLineChars="200"/>
        <w:rPr>
          <w:rFonts w:hint="eastAsia" w:ascii="宋体" w:hAnsi="宋体" w:cs="宋体"/>
          <w:color w:val="auto"/>
          <w:szCs w:val="21"/>
          <w:highlight w:val="none"/>
        </w:rPr>
      </w:pPr>
      <w:bookmarkStart w:id="988" w:name="_Toc19788"/>
      <w:bookmarkStart w:id="989" w:name="_Toc95223518"/>
      <w:r>
        <w:rPr>
          <w:rFonts w:hint="eastAsia" w:ascii="宋体" w:hAnsi="宋体" w:cs="宋体"/>
          <w:b/>
          <w:bCs/>
          <w:color w:val="auto"/>
          <w:szCs w:val="21"/>
          <w:highlight w:val="none"/>
        </w:rPr>
        <w:t>3. 招标工程量清单编制要求</w:t>
      </w:r>
      <w:bookmarkEnd w:id="988"/>
      <w:bookmarkEnd w:id="989"/>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pPr>
        <w:adjustRightInd w:val="0"/>
        <w:snapToGrid w:val="0"/>
        <w:spacing w:line="360" w:lineRule="auto"/>
        <w:ind w:firstLine="422" w:firstLineChars="200"/>
        <w:rPr>
          <w:rFonts w:hint="eastAsia" w:ascii="宋体" w:hAnsi="宋体" w:cs="宋体"/>
          <w:color w:val="auto"/>
          <w:szCs w:val="21"/>
          <w:highlight w:val="none"/>
        </w:rPr>
      </w:pPr>
      <w:bookmarkStart w:id="990" w:name="_Toc95223519"/>
      <w:bookmarkStart w:id="991" w:name="_Toc23910"/>
      <w:r>
        <w:rPr>
          <w:rFonts w:hint="eastAsia" w:ascii="宋体" w:hAnsi="宋体" w:cs="宋体"/>
          <w:b/>
          <w:bCs/>
          <w:color w:val="auto"/>
          <w:szCs w:val="21"/>
          <w:highlight w:val="none"/>
        </w:rPr>
        <w:t>4. 最高投标限价编制要求</w:t>
      </w:r>
      <w:bookmarkEnd w:id="990"/>
      <w:bookmarkEnd w:id="991"/>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依据招标人提供的招标文件、施工图纸和本工程招标清单中所有内容；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《建设工程工程量清单计价规范》(GB50500-2013)；</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2018版《安徽省建设工程工程量清单计价办法》；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省、市截止</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年4月</w:t>
      </w:r>
      <w:r>
        <w:rPr>
          <w:rFonts w:hint="eastAsia" w:ascii="宋体" w:hAnsi="宋体" w:eastAsia="宋体" w:cs="宋体"/>
          <w:color w:val="auto"/>
          <w:szCs w:val="21"/>
          <w:highlight w:val="none"/>
        </w:rPr>
        <w:t>的有关政策性文件；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最高投标限价为本次招标工程限定的最高投标限价。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分部分项工程费按本招标文件的分部分项工程量清单的特征描述及有关要求，结合第4.1款编制依据确定。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（1）综合单价中人工和施工机械台班单价按省级和工程所在地的市级工程造价管理机构公布的单价计算；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（2）综合单价中材料、工程设备单价按省级和工程所在地的市级工程造价管理机构公布的单价以及本招标文件规定的暂估价、市场调查价格计算；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（3）本招标文件中列有材料、设备暂估价的，按暂估价计算；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（4）综合单价中人工、材料和施工机械台班消耗量均按2018版安徽省定额消耗量计算；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（5）综合单价中综合费费率按2018版安徽省建设工程计价依据；</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（6）综合单价中应包括招标文件约定的应由投标人承担的风险范围及其费用，风险按本招标文件第4.1款约定计算。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不可竞争费（含安全文明施工费、环境保护税）按本招标文件中的不可竞争项目清单编制确定。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 其他项目费用应按照下列规定计价: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（1）暂列金额按招标工程量清单中列出的金额填写；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（2）专业工程暂估价按招标工程量清单中列出的金额填写；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（3）计日工按招标人列出项目和数量，结合第4.1款编制依据的要求确定综合单价并计算费用； </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（4）总承包服务费根据招标文件列出的内容和要求计算。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 税金（增值税）按税金项目清单，结合第4.1款编制依据的要求编制，不得降低标准。</w:t>
      </w:r>
    </w:p>
    <w:p>
      <w:pPr>
        <w:adjustRightInd w:val="0"/>
        <w:snapToGrid w:val="0"/>
        <w:spacing w:line="360" w:lineRule="auto"/>
        <w:ind w:firstLine="422" w:firstLineChars="200"/>
        <w:rPr>
          <w:rFonts w:hint="eastAsia" w:ascii="宋体" w:hAnsi="宋体" w:cs="宋体"/>
          <w:b/>
          <w:bCs/>
          <w:color w:val="auto"/>
          <w:szCs w:val="21"/>
          <w:highlight w:val="none"/>
        </w:rPr>
      </w:pPr>
      <w:bookmarkStart w:id="992" w:name="_Toc95223520"/>
      <w:bookmarkStart w:id="993" w:name="_Toc4166"/>
      <w:r>
        <w:rPr>
          <w:rFonts w:hint="eastAsia" w:ascii="宋体" w:hAnsi="宋体" w:cs="宋体"/>
          <w:b/>
          <w:bCs/>
          <w:color w:val="auto"/>
          <w:szCs w:val="21"/>
          <w:highlight w:val="none"/>
        </w:rPr>
        <w:t>5. 投标报价参考编制要求</w:t>
      </w:r>
      <w:bookmarkEnd w:id="992"/>
      <w:bookmarkEnd w:id="993"/>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（5）《2018版安徽省建设工程计价依据部分修编内容》（安徽省住房和城乡建设厅公告第53号）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不可竞争费（含安全文明施工费、环境保护税）根据工程量清单不可竞争项目，结合第5.1款编制依据确定，安全文明施工费费率不得调整。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除合同另有约定外，中标人在工程量清单报价书中所报的综合单价在施工图纸和合同约定范围一律不予调整；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（7）本招标工程不接受恶意不平衡报价，不保证最低价中标。</w:t>
      </w:r>
    </w:p>
    <w:p>
      <w:pPr>
        <w:adjustRightInd w:val="0"/>
        <w:snapToGrid w:val="0"/>
        <w:spacing w:line="360" w:lineRule="auto"/>
        <w:ind w:firstLine="422" w:firstLineChars="200"/>
        <w:rPr>
          <w:rFonts w:hint="eastAsia" w:ascii="宋体" w:hAnsi="宋体" w:cs="宋体"/>
          <w:color w:val="auto"/>
          <w:szCs w:val="21"/>
          <w:highlight w:val="none"/>
        </w:rPr>
      </w:pPr>
      <w:bookmarkStart w:id="994" w:name="_Toc4881"/>
      <w:bookmarkStart w:id="995" w:name="_Toc95223521"/>
      <w:r>
        <w:rPr>
          <w:rFonts w:hint="eastAsia" w:ascii="宋体" w:hAnsi="宋体" w:cs="宋体"/>
          <w:b/>
          <w:bCs/>
          <w:color w:val="auto"/>
          <w:szCs w:val="21"/>
          <w:highlight w:val="none"/>
        </w:rPr>
        <w:t>6. 工程量清单</w:t>
      </w:r>
      <w:bookmarkEnd w:id="994"/>
      <w:bookmarkEnd w:id="995"/>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10"/>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图纸</w:t>
      </w:r>
    </w:p>
    <w:p>
      <w:pPr>
        <w:pStyle w:val="43"/>
        <w:numPr>
          <w:ilvl w:val="0"/>
          <w:numId w:val="0"/>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另附</w:t>
      </w:r>
    </w:p>
    <w:p>
      <w:pPr>
        <w:pStyle w:val="43"/>
        <w:numPr>
          <w:ilvl w:val="0"/>
          <w:numId w:val="0"/>
        </w:numPr>
        <w:spacing w:beforeLines="50" w:afterLines="50" w:line="440" w:lineRule="exact"/>
        <w:jc w:val="both"/>
        <w:rPr>
          <w:rFonts w:hint="eastAsia" w:eastAsia="宋体" w:cs="Times New Roman"/>
          <w:bCs/>
          <w:color w:val="auto"/>
          <w:szCs w:val="32"/>
          <w:highlight w:val="none"/>
        </w:rPr>
      </w:pPr>
    </w:p>
    <w:p>
      <w:pPr>
        <w:rPr>
          <w:rFonts w:hint="eastAsia"/>
          <w:bCs/>
          <w:color w:val="auto"/>
          <w:szCs w:val="32"/>
          <w:highlight w:val="none"/>
        </w:rPr>
      </w:pPr>
      <w:r>
        <w:rPr>
          <w:rFonts w:hint="eastAsia"/>
          <w:bCs/>
          <w:color w:val="auto"/>
          <w:szCs w:val="32"/>
          <w:highlight w:val="none"/>
        </w:rPr>
        <w:br w:type="page"/>
      </w:r>
    </w:p>
    <w:p>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88"/>
      <w:bookmarkEnd w:id="889"/>
      <w:bookmarkEnd w:id="890"/>
      <w:bookmarkEnd w:id="891"/>
      <w:bookmarkEnd w:id="892"/>
      <w:bookmarkEnd w:id="893"/>
      <w:bookmarkEnd w:id="894"/>
      <w:bookmarkEnd w:id="895"/>
      <w:bookmarkEnd w:id="896"/>
      <w:bookmarkEnd w:id="897"/>
      <w:bookmarkEnd w:id="898"/>
      <w:bookmarkEnd w:id="899"/>
      <w:bookmarkEnd w:id="900"/>
    </w:p>
    <w:p>
      <w:pPr>
        <w:rPr>
          <w:color w:val="auto"/>
          <w:highlight w:val="none"/>
        </w:rPr>
      </w:pPr>
    </w:p>
    <w:p>
      <w:pPr>
        <w:rPr>
          <w:color w:val="auto"/>
          <w:highlight w:val="none"/>
        </w:rPr>
      </w:pP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jc w:val="center"/>
        <w:rPr>
          <w:rFonts w:eastAsia="黑体"/>
          <w:color w:val="auto"/>
          <w:sz w:val="20"/>
          <w:szCs w:val="20"/>
          <w:highlight w:val="none"/>
        </w:rPr>
      </w:pP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pPr>
        <w:jc w:val="center"/>
        <w:rPr>
          <w:rFonts w:eastAsia="黑体"/>
          <w:color w:val="auto"/>
          <w:sz w:val="44"/>
          <w:szCs w:val="44"/>
          <w:highlight w:val="none"/>
        </w:rPr>
      </w:pPr>
      <w:r>
        <w:rPr>
          <w:rFonts w:hint="eastAsia" w:eastAsia="黑体"/>
          <w:color w:val="auto"/>
          <w:sz w:val="44"/>
          <w:szCs w:val="44"/>
          <w:highlight w:val="none"/>
        </w:rPr>
        <w:t>（资信证明文件）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420"/>
        <w:rPr>
          <w:rFonts w:ascii="Times New Roman"/>
          <w:color w:val="auto"/>
          <w:szCs w:val="24"/>
          <w:highlight w:val="none"/>
        </w:rPr>
      </w:pPr>
    </w:p>
    <w:p>
      <w:pPr>
        <w:rPr>
          <w:rFonts w:ascii="Times New Roman"/>
          <w:color w:val="auto"/>
          <w:szCs w:val="24"/>
          <w:highlight w:val="none"/>
        </w:rPr>
      </w:pPr>
    </w:p>
    <w:p>
      <w:pPr>
        <w:pStyle w:val="14"/>
        <w:rPr>
          <w:rFonts w:ascii="Times New Roman"/>
          <w:color w:val="auto"/>
          <w:szCs w:val="24"/>
          <w:highlight w:val="none"/>
        </w:rPr>
      </w:pPr>
    </w:p>
    <w:p>
      <w:pPr>
        <w:rPr>
          <w:rFonts w:ascii="Times New Roman"/>
          <w:color w:val="auto"/>
          <w:szCs w:val="24"/>
          <w:highlight w:val="none"/>
        </w:rPr>
      </w:pPr>
    </w:p>
    <w:p>
      <w:pPr>
        <w:pStyle w:val="14"/>
        <w:rPr>
          <w:color w:val="auto"/>
          <w:highlight w:val="none"/>
        </w:rPr>
      </w:pPr>
    </w:p>
    <w:p>
      <w:pPr>
        <w:pStyle w:val="14"/>
        <w:ind w:firstLine="420"/>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bookmarkStart w:id="996" w:name="_Toc35425137"/>
      <w:bookmarkStart w:id="997" w:name="_Toc12683"/>
      <w:bookmarkStart w:id="998" w:name="_Toc35424971"/>
    </w:p>
    <w:p>
      <w:pPr>
        <w:spacing w:beforeLines="50" w:afterLines="50" w:line="440" w:lineRule="exact"/>
        <w:ind w:firstLine="643" w:firstLineChars="200"/>
        <w:jc w:val="left"/>
        <w:rPr>
          <w:rFonts w:ascii="宋体" w:hAnsi="宋体" w:cs="宋体"/>
          <w:b/>
          <w:color w:val="auto"/>
          <w:sz w:val="28"/>
          <w:szCs w:val="28"/>
          <w:highlight w:val="none"/>
        </w:rPr>
      </w:pPr>
      <w:bookmarkStart w:id="999" w:name="_Toc78803399"/>
      <w:r>
        <w:rPr>
          <w:rStyle w:val="64"/>
          <w:rFonts w:hint="eastAsia" w:ascii="宋体" w:hAnsi="宋体" w:cs="宋体"/>
          <w:color w:val="auto"/>
          <w:sz w:val="32"/>
          <w:highlight w:val="none"/>
        </w:rPr>
        <w:br w:type="page"/>
      </w:r>
      <w:r>
        <w:rPr>
          <w:rStyle w:val="64"/>
          <w:rFonts w:hint="eastAsia" w:ascii="宋体" w:hAnsi="宋体" w:cs="宋体"/>
          <w:color w:val="auto"/>
          <w:sz w:val="32"/>
          <w:highlight w:val="none"/>
        </w:rPr>
        <w:t>投标文件一</w:t>
      </w:r>
      <w:bookmarkEnd w:id="996"/>
      <w:bookmarkEnd w:id="997"/>
      <w:bookmarkEnd w:id="998"/>
      <w:bookmarkEnd w:id="999"/>
      <w:r>
        <w:rPr>
          <w:rFonts w:hint="eastAsia" w:ascii="宋体" w:hAnsi="宋体" w:cs="宋体"/>
          <w:b/>
          <w:color w:val="auto"/>
          <w:sz w:val="28"/>
          <w:szCs w:val="28"/>
          <w:highlight w:val="none"/>
        </w:rPr>
        <w:t>：资信证明文件目录</w:t>
      </w:r>
    </w:p>
    <w:p>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pPr>
        <w:pStyle w:val="77"/>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1000" w:name="_Toc506107356"/>
      <w:bookmarkStart w:id="1001" w:name="_Toc503196197"/>
      <w:bookmarkStart w:id="1002" w:name="_Toc26598"/>
      <w:r>
        <w:rPr>
          <w:rFonts w:hint="eastAsia" w:ascii="宋体"/>
          <w:color w:val="auto"/>
          <w:sz w:val="24"/>
          <w:szCs w:val="24"/>
          <w:highlight w:val="none"/>
        </w:rPr>
        <w:t>1、法定代表人身份证明</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pPr>
        <w:keepNext w:val="0"/>
        <w:keepLines w:val="0"/>
        <w:pageBreakBefore w:val="0"/>
        <w:kinsoku/>
        <w:wordWrap/>
        <w:overflowPunct/>
        <w:topLinePunct w:val="0"/>
        <w:autoSpaceDE/>
        <w:autoSpaceDN/>
        <w:bidi w:val="0"/>
        <w:adjustRightInd/>
        <w:snapToGrid/>
        <w:spacing w:line="440" w:lineRule="exact"/>
        <w:rPr>
          <w:color w:val="auto"/>
          <w:highlight w:val="none"/>
        </w:rPr>
      </w:pPr>
    </w:p>
    <w:p>
      <w:pPr>
        <w:pStyle w:val="77"/>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00"/>
      <w:bookmarkEnd w:id="1001"/>
      <w:bookmarkEnd w:id="100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pPr>
        <w:rPr>
          <w:rFonts w:eastAsia="黑体"/>
          <w:color w:val="auto"/>
          <w:sz w:val="28"/>
          <w:szCs w:val="28"/>
          <w:highlight w:val="none"/>
          <w:u w:val="single"/>
        </w:rPr>
      </w:pPr>
      <w:r>
        <w:rPr>
          <w:rFonts w:hint="eastAsia" w:ascii="宋体" w:hAnsi="宋体"/>
          <w:b/>
          <w:color w:val="auto"/>
          <w:sz w:val="32"/>
          <w:szCs w:val="32"/>
          <w:highlight w:val="none"/>
        </w:rPr>
        <w:br w:type="page"/>
      </w:r>
    </w:p>
    <w:p>
      <w:pPr>
        <w:jc w:val="center"/>
        <w:rPr>
          <w:rFonts w:eastAsia="黑体"/>
          <w:color w:val="auto"/>
          <w:sz w:val="28"/>
          <w:szCs w:val="28"/>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pPr>
        <w:jc w:val="center"/>
        <w:rPr>
          <w:rFonts w:eastAsia="黑体"/>
          <w:color w:val="auto"/>
          <w:sz w:val="44"/>
          <w:szCs w:val="44"/>
          <w:highlight w:val="none"/>
        </w:rPr>
      </w:pPr>
      <w:r>
        <w:rPr>
          <w:rFonts w:hint="eastAsia" w:eastAsia="黑体"/>
          <w:color w:val="auto"/>
          <w:sz w:val="44"/>
          <w:szCs w:val="44"/>
          <w:highlight w:val="none"/>
        </w:rPr>
        <w:t>（技术标文件）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bookmarkStart w:id="1003" w:name="_Toc35425138"/>
      <w:bookmarkStart w:id="1004" w:name="_Toc3395"/>
      <w:bookmarkStart w:id="1005" w:name="_Toc35424972"/>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spacing w:line="540" w:lineRule="exact"/>
        <w:rPr>
          <w:rStyle w:val="64"/>
          <w:rFonts w:ascii="宋体" w:hAnsi="宋体" w:cs="宋体"/>
          <w:color w:val="auto"/>
          <w:sz w:val="32"/>
          <w:highlight w:val="none"/>
        </w:rPr>
      </w:pPr>
    </w:p>
    <w:p>
      <w:pPr>
        <w:spacing w:beforeLines="50" w:afterLines="50" w:line="440" w:lineRule="exact"/>
        <w:ind w:firstLine="643" w:firstLineChars="200"/>
        <w:jc w:val="left"/>
        <w:rPr>
          <w:rStyle w:val="64"/>
          <w:rFonts w:ascii="宋体" w:hAnsi="宋体" w:cs="宋体"/>
          <w:color w:val="auto"/>
          <w:sz w:val="32"/>
          <w:highlight w:val="none"/>
        </w:rPr>
      </w:pPr>
      <w:bookmarkStart w:id="1006" w:name="_Toc78803400"/>
      <w:r>
        <w:rPr>
          <w:rStyle w:val="64"/>
          <w:rFonts w:hint="eastAsia" w:ascii="宋体" w:hAnsi="宋体" w:cs="宋体"/>
          <w:color w:val="auto"/>
          <w:sz w:val="32"/>
          <w:highlight w:val="none"/>
        </w:rPr>
        <w:br w:type="page"/>
      </w:r>
      <w:r>
        <w:rPr>
          <w:rStyle w:val="64"/>
          <w:rFonts w:hint="eastAsia" w:ascii="宋体" w:hAnsi="宋体" w:cs="宋体"/>
          <w:color w:val="auto"/>
          <w:sz w:val="32"/>
          <w:highlight w:val="none"/>
        </w:rPr>
        <w:t>投标文件二</w:t>
      </w:r>
      <w:bookmarkEnd w:id="1003"/>
      <w:bookmarkEnd w:id="1004"/>
      <w:bookmarkEnd w:id="1005"/>
      <w:r>
        <w:rPr>
          <w:rStyle w:val="64"/>
          <w:rFonts w:hint="eastAsia" w:ascii="宋体" w:hAnsi="宋体" w:cs="宋体"/>
          <w:color w:val="auto"/>
          <w:sz w:val="32"/>
          <w:highlight w:val="none"/>
        </w:rPr>
        <w:t>：技术标目录</w:t>
      </w:r>
      <w:bookmarkEnd w:id="1006"/>
    </w:p>
    <w:p>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技术标</w:t>
      </w:r>
      <w:r>
        <w:rPr>
          <w:rFonts w:hint="eastAsia" w:ascii="宋体" w:hAnsi="宋体" w:cs="宋体"/>
          <w:color w:val="auto"/>
          <w:szCs w:val="21"/>
          <w:highlight w:val="none"/>
        </w:rPr>
        <w:t>投标人认为需要的材料</w:t>
      </w:r>
      <w:r>
        <w:rPr>
          <w:rFonts w:hint="eastAsia" w:ascii="宋体" w:hAnsi="宋体" w:cs="宋体"/>
          <w:bCs/>
          <w:color w:val="auto"/>
          <w:szCs w:val="21"/>
          <w:highlight w:val="none"/>
        </w:rPr>
        <w:t>。</w:t>
      </w:r>
    </w:p>
    <w:p>
      <w:pPr>
        <w:spacing w:line="360" w:lineRule="auto"/>
        <w:ind w:firstLine="420" w:firstLineChars="200"/>
        <w:rPr>
          <w:rFonts w:ascii="宋体" w:hAnsi="宋体"/>
          <w:color w:val="auto"/>
          <w:szCs w:val="21"/>
          <w:highlight w:val="none"/>
        </w:rPr>
      </w:pPr>
    </w:p>
    <w:p>
      <w:pPr>
        <w:rPr>
          <w:color w:val="auto"/>
          <w:highlight w:val="none"/>
        </w:rPr>
      </w:pPr>
    </w:p>
    <w:p>
      <w:pPr>
        <w:rPr>
          <w:color w:val="auto"/>
          <w:highlight w:val="none"/>
        </w:rPr>
      </w:pPr>
    </w:p>
    <w:p>
      <w:pPr>
        <w:pStyle w:val="16"/>
        <w:rPr>
          <w:color w:val="auto"/>
          <w:highlight w:val="none"/>
        </w:rPr>
      </w:pPr>
      <w:r>
        <w:rPr>
          <w:color w:val="auto"/>
          <w:highlight w:val="none"/>
        </w:rPr>
        <w:br w:type="page"/>
      </w: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pPr>
        <w:jc w:val="center"/>
        <w:rPr>
          <w:rFonts w:eastAsia="黑体"/>
          <w:color w:val="auto"/>
          <w:sz w:val="44"/>
          <w:szCs w:val="44"/>
          <w:highlight w:val="none"/>
        </w:rPr>
      </w:pPr>
      <w:r>
        <w:rPr>
          <w:rFonts w:hint="eastAsia" w:eastAsia="黑体"/>
          <w:color w:val="auto"/>
          <w:sz w:val="44"/>
          <w:szCs w:val="44"/>
          <w:highlight w:val="none"/>
        </w:rPr>
        <w:t>（商务标文件）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p>
    <w:p>
      <w:pPr>
        <w:pStyle w:val="14"/>
        <w:ind w:firstLine="420"/>
        <w:rPr>
          <w:color w:val="auto"/>
          <w:highlight w:val="none"/>
        </w:rPr>
      </w:pPr>
    </w:p>
    <w:p>
      <w:pPr>
        <w:rPr>
          <w:color w:val="auto"/>
          <w:highlight w:val="none"/>
        </w:rPr>
      </w:pPr>
    </w:p>
    <w:p>
      <w:pPr>
        <w:spacing w:beforeLines="50" w:afterLines="50" w:line="440" w:lineRule="exact"/>
        <w:ind w:firstLine="643" w:firstLineChars="200"/>
        <w:jc w:val="left"/>
        <w:rPr>
          <w:rStyle w:val="64"/>
          <w:rFonts w:ascii="宋体" w:hAnsi="宋体" w:cs="宋体"/>
          <w:color w:val="auto"/>
          <w:sz w:val="32"/>
          <w:highlight w:val="none"/>
        </w:rPr>
      </w:pPr>
      <w:bookmarkStart w:id="1007" w:name="_Toc35425139"/>
      <w:bookmarkStart w:id="1008" w:name="_Toc35424973"/>
      <w:bookmarkStart w:id="1009" w:name="_Toc19174"/>
      <w:bookmarkStart w:id="1010" w:name="_Toc78803401"/>
      <w:r>
        <w:rPr>
          <w:rStyle w:val="64"/>
          <w:rFonts w:hint="eastAsia" w:ascii="宋体" w:hAnsi="宋体" w:cs="宋体"/>
          <w:color w:val="auto"/>
          <w:sz w:val="32"/>
          <w:highlight w:val="none"/>
        </w:rPr>
        <w:br w:type="page"/>
      </w:r>
      <w:r>
        <w:rPr>
          <w:rStyle w:val="64"/>
          <w:rFonts w:hint="eastAsia" w:ascii="宋体" w:hAnsi="宋体" w:cs="宋体"/>
          <w:color w:val="auto"/>
          <w:sz w:val="32"/>
          <w:highlight w:val="none"/>
        </w:rPr>
        <w:t>投标文件三</w:t>
      </w:r>
      <w:bookmarkEnd w:id="1007"/>
      <w:bookmarkEnd w:id="1008"/>
      <w:bookmarkEnd w:id="1009"/>
      <w:r>
        <w:rPr>
          <w:rStyle w:val="64"/>
          <w:rFonts w:hint="eastAsia" w:ascii="宋体" w:hAnsi="宋体" w:cs="宋体"/>
          <w:color w:val="auto"/>
          <w:sz w:val="32"/>
          <w:highlight w:val="none"/>
        </w:rPr>
        <w:t>：商务标目录</w:t>
      </w:r>
      <w:bookmarkEnd w:id="1010"/>
    </w:p>
    <w:p>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）工程量清单报价书（“工程量清单计价文件”格式）；</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spacing w:line="360" w:lineRule="auto"/>
        <w:rPr>
          <w:b/>
          <w:bCs/>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11" w:name="_Toc506107366"/>
      <w:bookmarkStart w:id="1012" w:name="_Toc35424974"/>
      <w:bookmarkStart w:id="1013" w:name="_Toc15058950"/>
      <w:bookmarkStart w:id="1014"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w:t>
      </w:r>
      <w:r>
        <w:rPr>
          <w:rFonts w:hint="eastAsia" w:ascii="宋体" w:hAnsi="宋体"/>
          <w:color w:val="auto"/>
          <w:szCs w:val="21"/>
          <w:highlight w:val="none"/>
        </w:rPr>
        <w:t>后，我方愿以为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pPr>
        <w:numPr>
          <w:ilvl w:val="0"/>
          <w:numId w:val="11"/>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万元的投标</w:t>
      </w:r>
      <w:r>
        <w:rPr>
          <w:rFonts w:hint="eastAsia" w:ascii="宋体" w:hAnsi="宋体"/>
          <w:color w:val="auto"/>
          <w:szCs w:val="21"/>
          <w:highlight w:val="none"/>
        </w:rPr>
        <w:t>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元作为履约担保。项目验收合格后，方可退还。</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11"/>
      <w:bookmarkEnd w:id="1012"/>
      <w:bookmarkEnd w:id="1013"/>
      <w:bookmarkEnd w:id="1014"/>
      <w:bookmarkStart w:id="1015" w:name="_Toc78803402"/>
    </w:p>
    <w:p>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15"/>
    </w:p>
    <w:p>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wordWrap w:val="0"/>
              <w:adjustRightInd w:val="0"/>
              <w:snapToGrid w:val="0"/>
              <w:spacing w:line="560" w:lineRule="exact"/>
              <w:rPr>
                <w:color w:val="auto"/>
                <w:sz w:val="30"/>
                <w:highlight w:val="none"/>
              </w:rPr>
            </w:pPr>
          </w:p>
          <w:p>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巢东矿业环山路延伸及道路附属工程施工项目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安徽巢东矿业高新材料有限责任公司</w:t>
            </w:r>
            <w:r>
              <w:rPr>
                <w:rFonts w:hint="eastAsia" w:ascii="宋体" w:hAnsi="宋体"/>
                <w:color w:val="auto"/>
                <w:sz w:val="28"/>
                <w:szCs w:val="28"/>
                <w:highlight w:val="none"/>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许经理</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0550-2601587</w:t>
            </w:r>
          </w:p>
          <w:p>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wordWrap w:val="0"/>
              <w:spacing w:line="560" w:lineRule="exact"/>
              <w:ind w:firstLine="560" w:firstLineChars="200"/>
              <w:rPr>
                <w:rFonts w:ascii="宋体" w:hAnsi="宋体"/>
                <w:color w:val="auto"/>
                <w:sz w:val="28"/>
                <w:szCs w:val="28"/>
                <w:highlight w:val="none"/>
              </w:rPr>
            </w:pPr>
          </w:p>
          <w:p>
            <w:pPr>
              <w:wordWrap w:val="0"/>
              <w:spacing w:line="560" w:lineRule="exact"/>
              <w:ind w:firstLine="560" w:firstLineChars="200"/>
              <w:rPr>
                <w:rFonts w:ascii="宋体" w:hAnsi="宋体"/>
                <w:color w:val="auto"/>
                <w:sz w:val="28"/>
                <w:szCs w:val="28"/>
                <w:highlight w:val="none"/>
              </w:rPr>
            </w:pPr>
          </w:p>
          <w:p>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pPr>
              <w:pStyle w:val="14"/>
              <w:ind w:firstLine="4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spacing w:line="560" w:lineRule="exact"/>
              <w:ind w:firstLine="560" w:firstLineChars="200"/>
              <w:rPr>
                <w:rFonts w:ascii="宋体" w:hAnsi="宋体" w:cs="宋体"/>
                <w:color w:val="auto"/>
                <w:sz w:val="28"/>
                <w:szCs w:val="28"/>
                <w:highlight w:val="none"/>
              </w:rPr>
            </w:pPr>
          </w:p>
          <w:p>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毕玉</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0550-3519598、15385506369</w:t>
            </w:r>
          </w:p>
          <w:p>
            <w:pPr>
              <w:spacing w:line="560" w:lineRule="exact"/>
              <w:ind w:firstLine="5040" w:firstLineChars="1800"/>
              <w:rPr>
                <w:rFonts w:ascii="宋体" w:hAnsi="宋体" w:cs="宋体"/>
                <w:color w:val="auto"/>
                <w:sz w:val="28"/>
                <w:szCs w:val="28"/>
                <w:highlight w:val="none"/>
              </w:rPr>
            </w:pPr>
          </w:p>
          <w:p>
            <w:pPr>
              <w:spacing w:line="560" w:lineRule="exact"/>
              <w:ind w:firstLine="5460" w:firstLineChars="1950"/>
              <w:rPr>
                <w:rFonts w:ascii="宋体" w:hAnsi="宋体" w:cs="宋体"/>
                <w:color w:val="auto"/>
                <w:sz w:val="28"/>
                <w:szCs w:val="28"/>
                <w:highlight w:val="none"/>
              </w:rPr>
            </w:pPr>
          </w:p>
          <w:p>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pPr>
              <w:pStyle w:val="14"/>
              <w:ind w:firstLine="420"/>
              <w:rPr>
                <w:color w:val="auto"/>
                <w:highlight w:val="none"/>
              </w:rPr>
            </w:pPr>
          </w:p>
        </w:tc>
      </w:tr>
    </w:tbl>
    <w:p>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A0C3A16"/>
    <w:multiLevelType w:val="singleLevel"/>
    <w:tmpl w:val="0A0C3A16"/>
    <w:lvl w:ilvl="0" w:tentative="0">
      <w:start w:val="1"/>
      <w:numFmt w:val="decimal"/>
      <w:suff w:val="nothing"/>
      <w:lvlText w:val="（%1）"/>
      <w:lvlJc w:val="left"/>
    </w:lvl>
  </w:abstractNum>
  <w:abstractNum w:abstractNumId="5">
    <w:nsid w:val="152B3C79"/>
    <w:multiLevelType w:val="singleLevel"/>
    <w:tmpl w:val="152B3C79"/>
    <w:lvl w:ilvl="0" w:tentative="0">
      <w:start w:val="1"/>
      <w:numFmt w:val="decimal"/>
      <w:suff w:val="nothing"/>
      <w:lvlText w:val="（%1）"/>
      <w:lvlJc w:val="left"/>
    </w:lvl>
  </w:abstractNum>
  <w:abstractNum w:abstractNumId="6">
    <w:nsid w:val="1E80E6C8"/>
    <w:multiLevelType w:val="singleLevel"/>
    <w:tmpl w:val="1E80E6C8"/>
    <w:lvl w:ilvl="0" w:tentative="0">
      <w:start w:val="3"/>
      <w:numFmt w:val="chineseCounting"/>
      <w:suff w:val="space"/>
      <w:lvlText w:val="第%1章"/>
      <w:lvlJc w:val="left"/>
      <w:rPr>
        <w:rFonts w:hint="eastAsia"/>
      </w:rPr>
    </w:lvl>
  </w:abstractNum>
  <w:abstractNum w:abstractNumId="7">
    <w:nsid w:val="21572EA5"/>
    <w:multiLevelType w:val="singleLevel"/>
    <w:tmpl w:val="21572EA5"/>
    <w:lvl w:ilvl="0" w:tentative="0">
      <w:start w:val="1"/>
      <w:numFmt w:val="decimal"/>
      <w:suff w:val="nothing"/>
      <w:lvlText w:val="%1、"/>
      <w:lvlJc w:val="left"/>
      <w:rPr>
        <w:rFonts w:hint="default" w:ascii="宋体" w:hAnsi="宋体" w:eastAsia="宋体" w:cs="宋体"/>
        <w:highlight w:val="none"/>
      </w:rPr>
    </w:lvl>
  </w:abstractNum>
  <w:abstractNum w:abstractNumId="8">
    <w:nsid w:val="2CFC1AFD"/>
    <w:multiLevelType w:val="singleLevel"/>
    <w:tmpl w:val="2CFC1AFD"/>
    <w:lvl w:ilvl="0" w:tentative="0">
      <w:start w:val="5"/>
      <w:numFmt w:val="chineseCounting"/>
      <w:suff w:val="space"/>
      <w:lvlText w:val="第%1章"/>
      <w:lvlJc w:val="left"/>
      <w:rPr>
        <w:rFonts w:hint="eastAsia"/>
      </w:rPr>
    </w:lvl>
  </w:abstractNum>
  <w:abstractNum w:abstractNumId="9">
    <w:nsid w:val="45A1E0C6"/>
    <w:multiLevelType w:val="singleLevel"/>
    <w:tmpl w:val="45A1E0C6"/>
    <w:lvl w:ilvl="0" w:tentative="0">
      <w:start w:val="10"/>
      <w:numFmt w:val="decimal"/>
      <w:suff w:val="nothing"/>
      <w:lvlText w:val="（%1）"/>
      <w:lvlJc w:val="left"/>
      <w:pPr>
        <w:tabs>
          <w:tab w:val="left" w:pos="0"/>
        </w:tabs>
        <w:ind w:left="0" w:firstLine="0"/>
      </w:pPr>
    </w:lvl>
  </w:abstractNum>
  <w:abstractNum w:abstractNumId="10">
    <w:nsid w:val="7CB0EA2D"/>
    <w:multiLevelType w:val="singleLevel"/>
    <w:tmpl w:val="7CB0EA2D"/>
    <w:lvl w:ilvl="0" w:tentative="0">
      <w:start w:val="1"/>
      <w:numFmt w:val="decimal"/>
      <w:suff w:val="nothing"/>
      <w:lvlText w:val="（%1）"/>
      <w:lvlJc w:val="left"/>
    </w:lvl>
  </w:abstractNum>
  <w:num w:numId="1">
    <w:abstractNumId w:val="7"/>
  </w:num>
  <w:num w:numId="2">
    <w:abstractNumId w:val="1"/>
  </w:num>
  <w:num w:numId="3">
    <w:abstractNumId w:val="2"/>
  </w:num>
  <w:num w:numId="4">
    <w:abstractNumId w:val="6"/>
  </w:num>
  <w:num w:numId="5">
    <w:abstractNumId w:val="10"/>
  </w:num>
  <w:num w:numId="6">
    <w:abstractNumId w:val="4"/>
  </w:num>
  <w:num w:numId="7">
    <w:abstractNumId w:val="9"/>
  </w:num>
  <w:num w:numId="8">
    <w:abstractNumId w:val="0"/>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869FF"/>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8530EF"/>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51681"/>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5161B1"/>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1 Char"/>
    <w:link w:val="3"/>
    <w:autoRedefine/>
    <w:qFormat/>
    <w:uiPriority w:val="0"/>
    <w:rPr>
      <w:rFonts w:eastAsia="宋体"/>
      <w:b/>
      <w:bCs/>
      <w:kern w:val="44"/>
      <w:sz w:val="44"/>
      <w:szCs w:val="44"/>
      <w:lang w:val="en-US" w:eastAsia="zh-CN" w:bidi="ar-SA"/>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78</Pages>
  <Words>35125</Words>
  <Characters>37111</Characters>
  <Lines>411</Lines>
  <Paragraphs>115</Paragraphs>
  <TotalTime>33</TotalTime>
  <ScaleCrop>false</ScaleCrop>
  <LinksUpToDate>false</LinksUpToDate>
  <CharactersWithSpaces>40086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WPS_1342278182</cp:lastModifiedBy>
  <cp:lastPrinted>2023-06-08T00:43:00Z</cp:lastPrinted>
  <dcterms:modified xsi:type="dcterms:W3CDTF">2024-04-23T07:17:30Z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95D97C3792AD4DA69FCAF4C87834B0DB_13</vt:lpwstr>
  </property>
</Properties>
</file>